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C822DF" w14:paraId="17F4D957" w14:textId="77777777" w:rsidTr="00EB563E">
        <w:trPr>
          <w:trHeight w:val="1975"/>
        </w:trPr>
        <w:tc>
          <w:tcPr>
            <w:tcW w:w="3969" w:type="dxa"/>
          </w:tcPr>
          <w:p w14:paraId="3AD7BCDF" w14:textId="18781620" w:rsidR="00C822DF" w:rsidRPr="00CD59B6" w:rsidRDefault="00C822DF" w:rsidP="00C822DF">
            <w:pPr>
              <w:pStyle w:val="Title"/>
              <w:spacing w:line="256" w:lineRule="auto"/>
              <w:ind w:left="0" w:firstLine="0"/>
              <w:rPr>
                <w:color w:val="7030A0"/>
                <w:sz w:val="16"/>
                <w:szCs w:val="16"/>
              </w:rPr>
            </w:pPr>
            <w:r w:rsidRPr="00CD59B6">
              <w:rPr>
                <w:noProof/>
                <w:color w:val="7030A0"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51F57F59" wp14:editId="6D52CCC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278765</wp:posOffset>
                  </wp:positionV>
                  <wp:extent cx="2463800" cy="685165"/>
                  <wp:effectExtent l="0" t="0" r="0" b="635"/>
                  <wp:wrapTight wrapText="bothSides">
                    <wp:wrapPolygon edited="0">
                      <wp:start x="0" y="0"/>
                      <wp:lineTo x="0" y="21019"/>
                      <wp:lineTo x="21377" y="21019"/>
                      <wp:lineTo x="21377" y="0"/>
                      <wp:lineTo x="0" y="0"/>
                    </wp:wrapPolygon>
                  </wp:wrapTight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</w:tcPr>
          <w:p w14:paraId="13DCC84D" w14:textId="2B1C5832" w:rsidR="0027388F" w:rsidRPr="0027388F" w:rsidRDefault="00C822DF" w:rsidP="00C822DF">
            <w:pPr>
              <w:pStyle w:val="Title"/>
              <w:spacing w:line="256" w:lineRule="auto"/>
              <w:ind w:left="0" w:firstLine="0"/>
              <w:jc w:val="center"/>
              <w:rPr>
                <w:color w:val="2F5496" w:themeColor="accent1" w:themeShade="BF"/>
                <w:spacing w:val="-4"/>
                <w:sz w:val="36"/>
                <w:szCs w:val="36"/>
              </w:rPr>
            </w:pPr>
            <w:r w:rsidRPr="0027388F">
              <w:rPr>
                <w:color w:val="2F5496" w:themeColor="accent1" w:themeShade="BF"/>
                <w:sz w:val="36"/>
                <w:szCs w:val="36"/>
              </w:rPr>
              <w:t>Explanatory note</w:t>
            </w:r>
            <w:r w:rsidRPr="0027388F">
              <w:rPr>
                <w:color w:val="2F5496" w:themeColor="accent1" w:themeShade="BF"/>
                <w:spacing w:val="-3"/>
                <w:sz w:val="36"/>
                <w:szCs w:val="36"/>
              </w:rPr>
              <w:t xml:space="preserve"> </w:t>
            </w:r>
            <w:r w:rsidRPr="0027388F">
              <w:rPr>
                <w:color w:val="2F5496" w:themeColor="accent1" w:themeShade="BF"/>
                <w:sz w:val="36"/>
                <w:szCs w:val="36"/>
              </w:rPr>
              <w:t>for</w:t>
            </w:r>
            <w:r w:rsidRPr="0027388F">
              <w:rPr>
                <w:color w:val="2F5496" w:themeColor="accent1" w:themeShade="BF"/>
                <w:spacing w:val="-5"/>
                <w:sz w:val="36"/>
                <w:szCs w:val="36"/>
              </w:rPr>
              <w:t xml:space="preserve"> </w:t>
            </w:r>
            <w:r w:rsidRPr="0027388F">
              <w:rPr>
                <w:color w:val="2F5496" w:themeColor="accent1" w:themeShade="BF"/>
                <w:sz w:val="36"/>
                <w:szCs w:val="36"/>
              </w:rPr>
              <w:t>the</w:t>
            </w:r>
            <w:r w:rsidRPr="0027388F">
              <w:rPr>
                <w:color w:val="2F5496" w:themeColor="accent1" w:themeShade="BF"/>
                <w:spacing w:val="-4"/>
                <w:sz w:val="36"/>
                <w:szCs w:val="36"/>
              </w:rPr>
              <w:t xml:space="preserve"> </w:t>
            </w:r>
          </w:p>
          <w:p w14:paraId="5B2967E3" w14:textId="2200F5D0" w:rsidR="0027388F" w:rsidRPr="0027388F" w:rsidRDefault="00FB5E39" w:rsidP="00C822DF">
            <w:pPr>
              <w:pStyle w:val="Title"/>
              <w:spacing w:line="256" w:lineRule="auto"/>
              <w:ind w:left="0" w:firstLine="0"/>
              <w:jc w:val="center"/>
              <w:rPr>
                <w:color w:val="2F5496" w:themeColor="accent1" w:themeShade="BF"/>
                <w:spacing w:val="-4"/>
                <w:sz w:val="36"/>
                <w:szCs w:val="36"/>
              </w:rPr>
            </w:pPr>
            <w:r>
              <w:rPr>
                <w:color w:val="2F5496" w:themeColor="accent1" w:themeShade="BF"/>
                <w:spacing w:val="-4"/>
                <w:sz w:val="36"/>
                <w:szCs w:val="36"/>
              </w:rPr>
              <w:t xml:space="preserve">August </w:t>
            </w:r>
            <w:r w:rsidR="00C822DF" w:rsidRPr="0027388F">
              <w:rPr>
                <w:color w:val="2F5496" w:themeColor="accent1" w:themeShade="BF"/>
                <w:spacing w:val="-4"/>
                <w:sz w:val="36"/>
                <w:szCs w:val="36"/>
              </w:rPr>
              <w:t>202</w:t>
            </w:r>
            <w:r w:rsidR="00641C2A">
              <w:rPr>
                <w:color w:val="2F5496" w:themeColor="accent1" w:themeShade="BF"/>
                <w:spacing w:val="-4"/>
                <w:sz w:val="36"/>
                <w:szCs w:val="36"/>
              </w:rPr>
              <w:t>4</w:t>
            </w:r>
            <w:r w:rsidR="00C822DF" w:rsidRPr="0027388F">
              <w:rPr>
                <w:color w:val="2F5496" w:themeColor="accent1" w:themeShade="BF"/>
                <w:spacing w:val="-4"/>
                <w:sz w:val="36"/>
                <w:szCs w:val="36"/>
              </w:rPr>
              <w:t xml:space="preserve"> </w:t>
            </w:r>
          </w:p>
          <w:p w14:paraId="19E0598C" w14:textId="17FCDFFB" w:rsidR="0027388F" w:rsidRPr="0027388F" w:rsidRDefault="00C822DF" w:rsidP="00C822DF">
            <w:pPr>
              <w:pStyle w:val="Title"/>
              <w:spacing w:line="256" w:lineRule="auto"/>
              <w:ind w:left="0" w:firstLine="0"/>
              <w:jc w:val="center"/>
              <w:rPr>
                <w:color w:val="2F5496" w:themeColor="accent1" w:themeShade="BF"/>
                <w:spacing w:val="2"/>
                <w:sz w:val="36"/>
                <w:szCs w:val="36"/>
              </w:rPr>
            </w:pPr>
            <w:r w:rsidRPr="0027388F">
              <w:rPr>
                <w:color w:val="2F5496" w:themeColor="accent1" w:themeShade="BF"/>
                <w:sz w:val="36"/>
                <w:szCs w:val="36"/>
              </w:rPr>
              <w:t>model</w:t>
            </w:r>
            <w:r w:rsidRPr="0027388F">
              <w:rPr>
                <w:color w:val="2F5496" w:themeColor="accent1" w:themeShade="BF"/>
                <w:spacing w:val="-5"/>
                <w:sz w:val="36"/>
                <w:szCs w:val="36"/>
              </w:rPr>
              <w:t xml:space="preserve"> </w:t>
            </w:r>
            <w:bookmarkStart w:id="0" w:name="_Hlk119653213"/>
            <w:r w:rsidRPr="0027388F">
              <w:rPr>
                <w:color w:val="2F5496" w:themeColor="accent1" w:themeShade="BF"/>
                <w:sz w:val="36"/>
                <w:szCs w:val="36"/>
              </w:rPr>
              <w:t>Clinical</w:t>
            </w:r>
            <w:r w:rsidRPr="0027388F">
              <w:rPr>
                <w:color w:val="2F5496" w:themeColor="accent1" w:themeShade="BF"/>
                <w:spacing w:val="-5"/>
                <w:sz w:val="36"/>
                <w:szCs w:val="36"/>
              </w:rPr>
              <w:t xml:space="preserve"> </w:t>
            </w:r>
            <w:r w:rsidRPr="0027388F">
              <w:rPr>
                <w:color w:val="2F5496" w:themeColor="accent1" w:themeShade="BF"/>
                <w:sz w:val="36"/>
                <w:szCs w:val="36"/>
              </w:rPr>
              <w:t>Trial</w:t>
            </w:r>
            <w:r w:rsidRPr="0027388F">
              <w:rPr>
                <w:color w:val="2F5496" w:themeColor="accent1" w:themeShade="BF"/>
                <w:spacing w:val="-5"/>
                <w:sz w:val="36"/>
                <w:szCs w:val="36"/>
              </w:rPr>
              <w:t xml:space="preserve"> </w:t>
            </w:r>
            <w:r w:rsidRPr="0027388F">
              <w:rPr>
                <w:color w:val="2F5496" w:themeColor="accent1" w:themeShade="BF"/>
                <w:sz w:val="36"/>
                <w:szCs w:val="36"/>
              </w:rPr>
              <w:t>Agreement</w:t>
            </w:r>
            <w:r w:rsidRPr="0027388F">
              <w:rPr>
                <w:color w:val="2F5496" w:themeColor="accent1" w:themeShade="BF"/>
                <w:spacing w:val="2"/>
                <w:sz w:val="36"/>
                <w:szCs w:val="36"/>
              </w:rPr>
              <w:t xml:space="preserve"> </w:t>
            </w:r>
            <w:bookmarkEnd w:id="0"/>
          </w:p>
          <w:p w14:paraId="01759C2B" w14:textId="33A522DF" w:rsidR="00C822DF" w:rsidRPr="0027388F" w:rsidRDefault="00C822DF" w:rsidP="00C822DF">
            <w:pPr>
              <w:pStyle w:val="Title"/>
              <w:spacing w:line="256" w:lineRule="auto"/>
              <w:ind w:left="0" w:firstLine="0"/>
              <w:jc w:val="center"/>
              <w:rPr>
                <w:color w:val="7030A0"/>
                <w:sz w:val="24"/>
                <w:szCs w:val="24"/>
              </w:rPr>
            </w:pPr>
            <w:r w:rsidRPr="0027388F">
              <w:rPr>
                <w:color w:val="2F5496" w:themeColor="accent1" w:themeShade="BF"/>
                <w:sz w:val="24"/>
                <w:szCs w:val="24"/>
              </w:rPr>
              <w:t>for</w:t>
            </w:r>
            <w:r w:rsidRPr="0027388F">
              <w:rPr>
                <w:color w:val="2F5496" w:themeColor="accent1" w:themeShade="BF"/>
                <w:spacing w:val="-5"/>
                <w:sz w:val="24"/>
                <w:szCs w:val="24"/>
              </w:rPr>
              <w:t xml:space="preserve"> </w:t>
            </w:r>
            <w:r w:rsidRPr="0027388F">
              <w:rPr>
                <w:color w:val="2F5496" w:themeColor="accent1" w:themeShade="BF"/>
                <w:sz w:val="24"/>
                <w:szCs w:val="24"/>
              </w:rPr>
              <w:t>use</w:t>
            </w:r>
            <w:r w:rsidRPr="0027388F">
              <w:rPr>
                <w:color w:val="2F5496" w:themeColor="accent1" w:themeShade="BF"/>
                <w:spacing w:val="-4"/>
                <w:sz w:val="24"/>
                <w:szCs w:val="24"/>
              </w:rPr>
              <w:t xml:space="preserve"> </w:t>
            </w:r>
            <w:r w:rsidRPr="0027388F">
              <w:rPr>
                <w:color w:val="2F5496" w:themeColor="accent1" w:themeShade="BF"/>
                <w:sz w:val="24"/>
                <w:szCs w:val="24"/>
              </w:rPr>
              <w:t>in</w:t>
            </w:r>
            <w:r w:rsidRPr="0027388F">
              <w:rPr>
                <w:color w:val="2F5496" w:themeColor="accent1" w:themeShade="BF"/>
                <w:spacing w:val="-2"/>
                <w:sz w:val="24"/>
                <w:szCs w:val="24"/>
              </w:rPr>
              <w:t xml:space="preserve"> </w:t>
            </w:r>
            <w:r w:rsidRPr="0027388F">
              <w:rPr>
                <w:color w:val="2F5496" w:themeColor="accent1" w:themeShade="BF"/>
                <w:sz w:val="24"/>
                <w:szCs w:val="24"/>
              </w:rPr>
              <w:t>all</w:t>
            </w:r>
            <w:r w:rsidRPr="0027388F">
              <w:rPr>
                <w:color w:val="2F5496" w:themeColor="accent1" w:themeShade="BF"/>
                <w:spacing w:val="-5"/>
                <w:sz w:val="24"/>
                <w:szCs w:val="24"/>
              </w:rPr>
              <w:t xml:space="preserve"> </w:t>
            </w:r>
            <w:r w:rsidRPr="0027388F">
              <w:rPr>
                <w:color w:val="2F5496" w:themeColor="accent1" w:themeShade="BF"/>
                <w:sz w:val="24"/>
                <w:szCs w:val="24"/>
              </w:rPr>
              <w:t>interventional</w:t>
            </w:r>
            <w:r w:rsidRPr="0027388F">
              <w:rPr>
                <w:color w:val="2F5496" w:themeColor="accent1" w:themeShade="BF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7388F">
              <w:rPr>
                <w:color w:val="2F5496" w:themeColor="accent1" w:themeShade="BF"/>
                <w:sz w:val="24"/>
                <w:szCs w:val="24"/>
              </w:rPr>
              <w:t>clinical</w:t>
            </w:r>
            <w:r w:rsidRPr="0027388F">
              <w:rPr>
                <w:color w:val="2F5496" w:themeColor="accent1" w:themeShade="BF"/>
                <w:spacing w:val="-47"/>
                <w:sz w:val="24"/>
                <w:szCs w:val="24"/>
              </w:rPr>
              <w:t xml:space="preserve"> </w:t>
            </w:r>
            <w:r w:rsidR="00F876E4">
              <w:rPr>
                <w:color w:val="2F5496" w:themeColor="accent1" w:themeShade="BF"/>
                <w:spacing w:val="-47"/>
                <w:sz w:val="24"/>
                <w:szCs w:val="24"/>
              </w:rPr>
              <w:t xml:space="preserve"> </w:t>
            </w:r>
            <w:r w:rsidRPr="0027388F">
              <w:rPr>
                <w:color w:val="2F5496" w:themeColor="accent1" w:themeShade="BF"/>
                <w:sz w:val="24"/>
                <w:szCs w:val="24"/>
              </w:rPr>
              <w:t>trials</w:t>
            </w:r>
            <w:proofErr w:type="gramEnd"/>
            <w:r w:rsidRPr="0027388F">
              <w:rPr>
                <w:color w:val="2F5496" w:themeColor="accent1" w:themeShade="BF"/>
                <w:spacing w:val="-5"/>
                <w:sz w:val="24"/>
                <w:szCs w:val="24"/>
              </w:rPr>
              <w:t xml:space="preserve"> </w:t>
            </w:r>
            <w:r w:rsidRPr="0027388F">
              <w:rPr>
                <w:color w:val="2F5496" w:themeColor="accent1" w:themeShade="BF"/>
                <w:sz w:val="24"/>
                <w:szCs w:val="24"/>
              </w:rPr>
              <w:t>in</w:t>
            </w:r>
            <w:r w:rsidRPr="0027388F">
              <w:rPr>
                <w:color w:val="2F5496" w:themeColor="accent1" w:themeShade="BF"/>
                <w:spacing w:val="-1"/>
                <w:sz w:val="24"/>
                <w:szCs w:val="24"/>
              </w:rPr>
              <w:t xml:space="preserve"> </w:t>
            </w:r>
            <w:r w:rsidRPr="0027388F">
              <w:rPr>
                <w:color w:val="2F5496" w:themeColor="accent1" w:themeShade="BF"/>
                <w:sz w:val="24"/>
                <w:szCs w:val="24"/>
              </w:rPr>
              <w:t>Ireland</w:t>
            </w:r>
          </w:p>
        </w:tc>
      </w:tr>
    </w:tbl>
    <w:p w14:paraId="60CD0060" w14:textId="77777777" w:rsidR="00F122A5" w:rsidRDefault="00F122A5" w:rsidP="00F122A5">
      <w:pPr>
        <w:pStyle w:val="BodyText"/>
        <w:spacing w:before="4"/>
        <w:rPr>
          <w:b/>
          <w:sz w:val="23"/>
        </w:rPr>
      </w:pPr>
    </w:p>
    <w:p w14:paraId="34554A6E" w14:textId="5075030B" w:rsidR="00350896" w:rsidRDefault="00350896" w:rsidP="00350896">
      <w:pPr>
        <w:pStyle w:val="BodyText"/>
        <w:numPr>
          <w:ilvl w:val="0"/>
          <w:numId w:val="1"/>
        </w:numPr>
        <w:ind w:left="360" w:right="115"/>
        <w:jc w:val="both"/>
        <w:rPr>
          <w:rFonts w:eastAsia="Times New Roman"/>
        </w:rPr>
      </w:pPr>
      <w:r>
        <w:rPr>
          <w:rFonts w:eastAsia="Times New Roman"/>
        </w:rPr>
        <w:t xml:space="preserve">The </w:t>
      </w:r>
      <w:r w:rsidR="00E4485A">
        <w:rPr>
          <w:rFonts w:eastAsia="Times New Roman"/>
        </w:rPr>
        <w:t xml:space="preserve">model </w:t>
      </w:r>
      <w:r w:rsidR="00E4485A" w:rsidRPr="00E4485A">
        <w:rPr>
          <w:rFonts w:eastAsia="Times New Roman"/>
        </w:rPr>
        <w:t xml:space="preserve">Clinical Trial Agreement </w:t>
      </w:r>
      <w:r w:rsidR="00E4485A">
        <w:rPr>
          <w:rFonts w:eastAsia="Times New Roman"/>
        </w:rPr>
        <w:t>(</w:t>
      </w:r>
      <w:proofErr w:type="spellStart"/>
      <w:r>
        <w:rPr>
          <w:rFonts w:eastAsia="Times New Roman"/>
        </w:rPr>
        <w:t>mCTA</w:t>
      </w:r>
      <w:proofErr w:type="spellEnd"/>
      <w:r w:rsidR="00E4485A">
        <w:rPr>
          <w:rFonts w:eastAsia="Times New Roman"/>
        </w:rPr>
        <w:t>)</w:t>
      </w:r>
      <w:r>
        <w:rPr>
          <w:rFonts w:eastAsia="Times New Roman"/>
        </w:rPr>
        <w:t xml:space="preserve"> is mandatory and effective </w:t>
      </w:r>
      <w:r w:rsidR="00E1764B">
        <w:rPr>
          <w:rFonts w:eastAsia="Times New Roman"/>
        </w:rPr>
        <w:t xml:space="preserve">from </w:t>
      </w:r>
      <w:r w:rsidR="00A72BA9" w:rsidRPr="00A72BA9">
        <w:rPr>
          <w:rFonts w:eastAsia="Times New Roman"/>
        </w:rPr>
        <w:t xml:space="preserve">23.08.24 </w:t>
      </w:r>
      <w:r>
        <w:rPr>
          <w:rFonts w:eastAsia="Times New Roman"/>
        </w:rPr>
        <w:t xml:space="preserve">for CTAs that have not yet been circulated between Sponsors and Hospitals. However, where CTA negotiations have commenced then the CTA that is the subject of the negotiations </w:t>
      </w:r>
      <w:r w:rsidR="00E1764B">
        <w:rPr>
          <w:rFonts w:eastAsia="Times New Roman"/>
        </w:rPr>
        <w:t>may</w:t>
      </w:r>
      <w:r>
        <w:rPr>
          <w:rFonts w:eastAsia="Times New Roman"/>
        </w:rPr>
        <w:t xml:space="preserve"> continue to be used in the clinical trial.</w:t>
      </w:r>
    </w:p>
    <w:p w14:paraId="112206A5" w14:textId="77777777" w:rsidR="00350896" w:rsidRDefault="00350896" w:rsidP="00350896">
      <w:pPr>
        <w:pStyle w:val="BodyText"/>
        <w:ind w:right="115"/>
        <w:jc w:val="both"/>
        <w:rPr>
          <w:rFonts w:eastAsia="Times New Roman"/>
        </w:rPr>
      </w:pPr>
    </w:p>
    <w:p w14:paraId="3D44562C" w14:textId="21BA8115" w:rsidR="00F122A5" w:rsidRPr="00350896" w:rsidRDefault="00F122A5" w:rsidP="00350896">
      <w:pPr>
        <w:pStyle w:val="ListParagraph"/>
        <w:numPr>
          <w:ilvl w:val="0"/>
          <w:numId w:val="1"/>
        </w:numPr>
        <w:ind w:left="360"/>
        <w:jc w:val="both"/>
        <w:rPr>
          <w:rFonts w:eastAsiaTheme="minorHAnsi"/>
        </w:rPr>
      </w:pPr>
      <w:r w:rsidRPr="00350896">
        <w:rPr>
          <w:shd w:val="clear" w:color="auto" w:fill="FFFFFF"/>
          <w:lang w:val="en-IE"/>
        </w:rPr>
        <w:t>Standard Contractual Clauses (SCC)</w:t>
      </w:r>
      <w:r w:rsidR="00331AEA">
        <w:rPr>
          <w:rStyle w:val="FootnoteReference"/>
          <w:shd w:val="clear" w:color="auto" w:fill="FFFFFF"/>
          <w:lang w:val="en-IE"/>
        </w:rPr>
        <w:footnoteReference w:id="1"/>
      </w:r>
      <w:r w:rsidRPr="00C75374">
        <w:t xml:space="preserve"> safeguard the transfer of data to countries of non-adequacy.  Where these are </w:t>
      </w:r>
      <w:proofErr w:type="gramStart"/>
      <w:r w:rsidRPr="00C75374">
        <w:t>required</w:t>
      </w:r>
      <w:proofErr w:type="gramEnd"/>
      <w:r w:rsidRPr="00C75374">
        <w:t xml:space="preserve"> it is suggested that the clauses are included as an appendix to the </w:t>
      </w:r>
      <w:proofErr w:type="spellStart"/>
      <w:r w:rsidRPr="00C75374">
        <w:t>mCTA</w:t>
      </w:r>
      <w:proofErr w:type="spellEnd"/>
      <w:r w:rsidRPr="00C75374">
        <w:t xml:space="preserve"> or if the </w:t>
      </w:r>
      <w:proofErr w:type="spellStart"/>
      <w:r w:rsidRPr="00C75374">
        <w:t>mCTA</w:t>
      </w:r>
      <w:proofErr w:type="spellEnd"/>
      <w:r w:rsidRPr="00C75374">
        <w:t xml:space="preserve"> has been executed then </w:t>
      </w:r>
      <w:r w:rsidR="00F7224A">
        <w:t>in</w:t>
      </w:r>
      <w:r w:rsidRPr="00C75374">
        <w:t xml:space="preserve"> a separate Data Transfer Agreement.  We have templated the SCCs (with model data transfer descriptions) for the purposes of an appendix or to sign as a standalone DTA for </w:t>
      </w:r>
      <w:r w:rsidR="0011451B" w:rsidRPr="00C75374">
        <w:t>controller-to-controller</w:t>
      </w:r>
      <w:r w:rsidRPr="00C75374">
        <w:t xml:space="preserve"> transfer.</w:t>
      </w:r>
    </w:p>
    <w:p w14:paraId="01AA9CDF" w14:textId="77777777" w:rsidR="00F122A5" w:rsidRDefault="00F122A5" w:rsidP="00350896">
      <w:pPr>
        <w:pStyle w:val="BodyText"/>
        <w:rPr>
          <w:sz w:val="23"/>
        </w:rPr>
      </w:pPr>
    </w:p>
    <w:p w14:paraId="0950C40C" w14:textId="77FCA005" w:rsidR="00F122A5" w:rsidRDefault="00F122A5" w:rsidP="00350896">
      <w:pPr>
        <w:pStyle w:val="BodyText"/>
        <w:numPr>
          <w:ilvl w:val="0"/>
          <w:numId w:val="1"/>
        </w:numPr>
        <w:ind w:left="360" w:right="119"/>
        <w:jc w:val="both"/>
      </w:pPr>
      <w:r>
        <w:t xml:space="preserve">The </w:t>
      </w:r>
      <w:proofErr w:type="spellStart"/>
      <w:r>
        <w:t>mCTA</w:t>
      </w:r>
      <w:proofErr w:type="spellEnd"/>
      <w:r>
        <w:t xml:space="preserve"> is standardised and therefore changes to the standard text in the document are not</w:t>
      </w:r>
      <w:r>
        <w:rPr>
          <w:spacing w:val="1"/>
        </w:rPr>
        <w:t xml:space="preserve"> </w:t>
      </w:r>
      <w:r>
        <w:t xml:space="preserve">permissible. </w:t>
      </w:r>
    </w:p>
    <w:p w14:paraId="7FD7BC9A" w14:textId="77777777" w:rsidR="00EB563E" w:rsidRDefault="00EB563E" w:rsidP="00EB563E">
      <w:pPr>
        <w:pStyle w:val="ListParagraph"/>
      </w:pPr>
    </w:p>
    <w:p w14:paraId="4A5A28B0" w14:textId="4BAE3119" w:rsidR="00EB563E" w:rsidRDefault="00EB563E" w:rsidP="00350896">
      <w:pPr>
        <w:pStyle w:val="BodyText"/>
        <w:numPr>
          <w:ilvl w:val="0"/>
          <w:numId w:val="1"/>
        </w:numPr>
        <w:ind w:left="360" w:right="119"/>
        <w:jc w:val="both"/>
      </w:pPr>
      <w:proofErr w:type="gramStart"/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I</w:t>
      </w:r>
      <w:r>
        <w:rPr>
          <w:rFonts w:cstheme="minorHAnsi"/>
        </w:rPr>
        <w:t>n the event that</w:t>
      </w:r>
      <w:proofErr w:type="gramEnd"/>
      <w:r>
        <w:rPr>
          <w:rFonts w:cstheme="minorHAnsi"/>
        </w:rPr>
        <w:t xml:space="preserve"> the clinical </w:t>
      </w:r>
      <w:r w:rsidR="00F876E4">
        <w:rPr>
          <w:rFonts w:cstheme="minorHAnsi"/>
        </w:rPr>
        <w:t>trial</w:t>
      </w:r>
      <w:r>
        <w:rPr>
          <w:rFonts w:cstheme="minorHAnsi"/>
        </w:rPr>
        <w:t xml:space="preserve"> is being supported by a University Clinical Research Centre or Clinical Research Facility, a tripartite agreement should be put in place to set out the roles and responsibilities of each party. This triparty agreement should be largely based on the HSE</w:t>
      </w:r>
      <w:r w:rsidR="00205D19">
        <w:rPr>
          <w:rFonts w:cstheme="minorHAnsi"/>
        </w:rPr>
        <w:t>&amp;</w:t>
      </w:r>
      <w:r>
        <w:rPr>
          <w:rFonts w:cstheme="minorHAnsi"/>
        </w:rPr>
        <w:t xml:space="preserve">IPHA </w:t>
      </w:r>
      <w:proofErr w:type="spellStart"/>
      <w:r>
        <w:rPr>
          <w:rFonts w:cstheme="minorHAnsi"/>
        </w:rPr>
        <w:t>mCTA</w:t>
      </w:r>
      <w:proofErr w:type="spellEnd"/>
      <w:r>
        <w:rPr>
          <w:rFonts w:cstheme="minorHAnsi"/>
        </w:rPr>
        <w:t xml:space="preserve"> to expedite contract review and approval.</w:t>
      </w:r>
    </w:p>
    <w:p w14:paraId="5B7EF548" w14:textId="77777777" w:rsidR="00E1764B" w:rsidRPr="0027388F" w:rsidRDefault="00E1764B" w:rsidP="00E1764B">
      <w:pPr>
        <w:pStyle w:val="BodyText"/>
        <w:ind w:right="115"/>
        <w:jc w:val="both"/>
        <w:rPr>
          <w:color w:val="2F5496" w:themeColor="accent1" w:themeShade="BF"/>
        </w:rPr>
      </w:pPr>
    </w:p>
    <w:p w14:paraId="5B1A54A7" w14:textId="77777777" w:rsidR="00E1764B" w:rsidRDefault="00E1764B" w:rsidP="00E1764B">
      <w:pPr>
        <w:pStyle w:val="BodyText"/>
        <w:ind w:left="360" w:right="115"/>
        <w:jc w:val="center"/>
        <w:rPr>
          <w:b/>
          <w:bCs/>
          <w:color w:val="2F5496" w:themeColor="accent1" w:themeShade="BF"/>
        </w:rPr>
      </w:pPr>
      <w:r w:rsidRPr="0027388F">
        <w:rPr>
          <w:b/>
          <w:bCs/>
          <w:color w:val="2F5496" w:themeColor="accent1" w:themeShade="BF"/>
        </w:rPr>
        <w:t>BACKGROUND</w:t>
      </w:r>
    </w:p>
    <w:p w14:paraId="2A903CB5" w14:textId="77777777" w:rsidR="00CD59B6" w:rsidRPr="0027388F" w:rsidRDefault="00CD59B6" w:rsidP="00E1764B">
      <w:pPr>
        <w:pStyle w:val="BodyText"/>
        <w:ind w:left="360" w:right="115"/>
        <w:jc w:val="center"/>
        <w:rPr>
          <w:b/>
          <w:bCs/>
          <w:color w:val="2F5496" w:themeColor="accent1" w:themeShade="BF"/>
        </w:rPr>
      </w:pPr>
    </w:p>
    <w:p w14:paraId="2F0FE29A" w14:textId="3CD89008" w:rsidR="00E1764B" w:rsidRDefault="00E1764B" w:rsidP="00E1764B">
      <w:pPr>
        <w:pStyle w:val="BodyText"/>
        <w:numPr>
          <w:ilvl w:val="0"/>
          <w:numId w:val="2"/>
        </w:numPr>
        <w:ind w:left="360" w:right="115"/>
        <w:jc w:val="both"/>
      </w:pPr>
      <w:r>
        <w:t>The originator pharmaceutical industry wishes to improve Ireland’s clinical trial footprint. Including</w:t>
      </w:r>
      <w:r>
        <w:rPr>
          <w:spacing w:val="1"/>
        </w:rPr>
        <w:t xml:space="preserve"> </w:t>
      </w:r>
      <w:r>
        <w:rPr>
          <w:spacing w:val="-1"/>
        </w:rPr>
        <w:t>patients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clinical</w:t>
      </w:r>
      <w:r>
        <w:rPr>
          <w:spacing w:val="-10"/>
        </w:rPr>
        <w:t xml:space="preserve"> </w:t>
      </w:r>
      <w:r>
        <w:t>trials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critical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developing</w:t>
      </w:r>
      <w:r>
        <w:rPr>
          <w:spacing w:val="-10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innovative</w:t>
      </w:r>
      <w:r>
        <w:rPr>
          <w:spacing w:val="-11"/>
        </w:rPr>
        <w:t xml:space="preserve"> </w:t>
      </w:r>
      <w:r>
        <w:t>treatments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ultimately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 xml:space="preserve">the nation’s health. </w:t>
      </w:r>
    </w:p>
    <w:p w14:paraId="0F7500AB" w14:textId="77777777" w:rsidR="00E1764B" w:rsidRDefault="00E1764B" w:rsidP="00E1764B">
      <w:pPr>
        <w:pStyle w:val="BodyText"/>
        <w:ind w:right="115"/>
        <w:jc w:val="both"/>
      </w:pPr>
    </w:p>
    <w:p w14:paraId="16A767FB" w14:textId="77777777" w:rsidR="00E1764B" w:rsidRDefault="00E1764B" w:rsidP="00E1764B">
      <w:pPr>
        <w:pStyle w:val="BodyText"/>
        <w:numPr>
          <w:ilvl w:val="0"/>
          <w:numId w:val="2"/>
        </w:numPr>
        <w:ind w:left="360" w:right="115"/>
        <w:jc w:val="both"/>
      </w:pPr>
      <w:r>
        <w:t>There is clear published evidence that by including patients in clinical trials their</w:t>
      </w:r>
      <w:r>
        <w:rPr>
          <w:spacing w:val="1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improve</w:t>
      </w:r>
      <w:r>
        <w:rPr>
          <w:spacing w:val="-7"/>
        </w:rPr>
        <w:t xml:space="preserve"> </w:t>
      </w:r>
      <w:r>
        <w:t>substantially.</w:t>
      </w:r>
      <w:r>
        <w:rPr>
          <w:spacing w:val="-6"/>
        </w:rPr>
        <w:t xml:space="preserve"> </w:t>
      </w:r>
      <w:r>
        <w:t>Further,</w:t>
      </w:r>
      <w:r>
        <w:rPr>
          <w:spacing w:val="-11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view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Ireland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play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leading</w:t>
      </w:r>
      <w:r>
        <w:rPr>
          <w:spacing w:val="-7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gramStart"/>
      <w:r>
        <w:t xml:space="preserve">the </w:t>
      </w:r>
      <w:r>
        <w:rPr>
          <w:spacing w:val="-48"/>
        </w:rPr>
        <w:t xml:space="preserve"> </w:t>
      </w:r>
      <w:r>
        <w:t>provision</w:t>
      </w:r>
      <w:proofErr w:type="gramEnd"/>
      <w:r>
        <w:t xml:space="preserve"> of clinical trials in Europe. There is no doubt that Ireland’s decision to join the European</w:t>
      </w:r>
      <w:r>
        <w:rPr>
          <w:spacing w:val="1"/>
        </w:rPr>
        <w:t xml:space="preserve"> </w:t>
      </w:r>
      <w:r>
        <w:t>Clinical Research Infrastructure Network has the potential to widen our access to clinical research</w:t>
      </w:r>
      <w:r>
        <w:rPr>
          <w:spacing w:val="1"/>
        </w:rPr>
        <w:t xml:space="preserve"> </w:t>
      </w:r>
      <w:r>
        <w:t>networks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Europe.</w:t>
      </w:r>
    </w:p>
    <w:p w14:paraId="2F4CC314" w14:textId="77777777" w:rsidR="00E1764B" w:rsidRDefault="00E1764B" w:rsidP="00E1764B">
      <w:pPr>
        <w:pStyle w:val="BodyText"/>
        <w:ind w:right="115"/>
        <w:jc w:val="both"/>
      </w:pPr>
    </w:p>
    <w:p w14:paraId="2EE4A744" w14:textId="426FAD16" w:rsidR="00E1764B" w:rsidRDefault="00E1764B" w:rsidP="00E1764B">
      <w:pPr>
        <w:pStyle w:val="BodyText"/>
        <w:numPr>
          <w:ilvl w:val="0"/>
          <w:numId w:val="2"/>
        </w:numPr>
        <w:spacing w:before="1"/>
        <w:ind w:left="360" w:right="112"/>
        <w:jc w:val="both"/>
        <w:rPr>
          <w:spacing w:val="-10"/>
        </w:rPr>
      </w:pPr>
      <w:r>
        <w:t>There are practical steps we can take here at home to speed up and improve our performance in</w:t>
      </w:r>
      <w:r>
        <w:rPr>
          <w:spacing w:val="1"/>
        </w:rPr>
        <w:t xml:space="preserve"> </w:t>
      </w:r>
      <w:r>
        <w:t>relation to clinical trials. These include the use of a standardised site contract for clinical trials (the</w:t>
      </w:r>
      <w:r>
        <w:rPr>
          <w:spacing w:val="1"/>
        </w:rPr>
        <w:t xml:space="preserve"> </w:t>
      </w:r>
      <w:r>
        <w:rPr>
          <w:spacing w:val="-1"/>
        </w:rPr>
        <w:t>C</w:t>
      </w:r>
      <w:r w:rsidR="00836A0F">
        <w:rPr>
          <w:spacing w:val="-1"/>
        </w:rPr>
        <w:t>TA</w:t>
      </w:r>
      <w:r>
        <w:rPr>
          <w:rStyle w:val="FootnoteReference"/>
        </w:rPr>
        <w:footnoteReference w:id="2"/>
      </w:r>
      <w:r>
        <w:t>)</w:t>
      </w:r>
      <w:r>
        <w:rPr>
          <w:spacing w:val="-12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convention</w:t>
      </w:r>
      <w:r>
        <w:rPr>
          <w:spacing w:val="-8"/>
        </w:rPr>
        <w:t xml:space="preserve"> </w:t>
      </w:r>
      <w:r>
        <w:t>in</w:t>
      </w:r>
      <w:r>
        <w:rPr>
          <w:spacing w:val="-13"/>
        </w:rPr>
        <w:t xml:space="preserve"> </w:t>
      </w:r>
      <w:proofErr w:type="gramStart"/>
      <w:r>
        <w:t>a</w:t>
      </w:r>
      <w:r>
        <w:rPr>
          <w:spacing w:val="-3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t>of</w:t>
      </w:r>
      <w:proofErr w:type="gramEnd"/>
      <w:r>
        <w:rPr>
          <w:spacing w:val="-1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EU</w:t>
      </w:r>
      <w:r>
        <w:rPr>
          <w:spacing w:val="-10"/>
        </w:rPr>
        <w:t xml:space="preserve"> </w:t>
      </w:r>
      <w:r>
        <w:t>countries.</w:t>
      </w:r>
      <w:r>
        <w:rPr>
          <w:spacing w:val="-10"/>
        </w:rPr>
        <w:t xml:space="preserve"> </w:t>
      </w:r>
    </w:p>
    <w:p w14:paraId="14F19CBE" w14:textId="77777777" w:rsidR="00E1764B" w:rsidRDefault="00E1764B" w:rsidP="00E1764B">
      <w:pPr>
        <w:pStyle w:val="BodyText"/>
        <w:spacing w:before="1"/>
        <w:ind w:right="112"/>
        <w:jc w:val="both"/>
        <w:rPr>
          <w:spacing w:val="-10"/>
        </w:rPr>
      </w:pPr>
    </w:p>
    <w:p w14:paraId="1416F1FA" w14:textId="76973E2D" w:rsidR="00E1764B" w:rsidRDefault="00E1764B" w:rsidP="00E1764B">
      <w:pPr>
        <w:pStyle w:val="BodyText"/>
        <w:numPr>
          <w:ilvl w:val="0"/>
          <w:numId w:val="2"/>
        </w:numPr>
        <w:spacing w:before="1"/>
        <w:ind w:left="360" w:right="112"/>
        <w:jc w:val="both"/>
      </w:pPr>
      <w:r>
        <w:t>Provision of a single standard CTA for Ireland will reduce</w:t>
      </w:r>
      <w:r>
        <w:rPr>
          <w:spacing w:val="1"/>
        </w:rPr>
        <w:t xml:space="preserve"> </w:t>
      </w:r>
      <w:r>
        <w:t>delays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hospitals,</w:t>
      </w:r>
      <w:r>
        <w:rPr>
          <w:spacing w:val="-3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hospitals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companies,</w:t>
      </w:r>
      <w:r>
        <w:rPr>
          <w:spacing w:val="-7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efficiencies,</w:t>
      </w:r>
      <w:r>
        <w:rPr>
          <w:spacing w:val="-3"/>
        </w:rPr>
        <w:t xml:space="preserve"> </w:t>
      </w:r>
      <w:r>
        <w:t>enable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proofErr w:type="gramStart"/>
      <w:r>
        <w:t>trials</w:t>
      </w:r>
      <w:r w:rsidR="00CD657E">
        <w:t xml:space="preserve"> </w:t>
      </w:r>
      <w:r>
        <w:rPr>
          <w:spacing w:val="-48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Ireland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thus,</w:t>
      </w:r>
      <w:r>
        <w:rPr>
          <w:spacing w:val="-1"/>
        </w:rPr>
        <w:t xml:space="preserve"> </w:t>
      </w:r>
      <w:r>
        <w:t>importantly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ultimately, improve</w:t>
      </w:r>
      <w:r>
        <w:rPr>
          <w:spacing w:val="-3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outcomes.</w:t>
      </w:r>
    </w:p>
    <w:p w14:paraId="4F4DCC33" w14:textId="77777777" w:rsidR="00E1764B" w:rsidRDefault="00E1764B" w:rsidP="00E1764B">
      <w:pPr>
        <w:pStyle w:val="BodyText"/>
        <w:spacing w:before="1"/>
        <w:ind w:right="112"/>
        <w:jc w:val="both"/>
      </w:pPr>
    </w:p>
    <w:p w14:paraId="16A040A1" w14:textId="0EEBF3B6" w:rsidR="00331AEA" w:rsidRDefault="00E1764B" w:rsidP="008C326B">
      <w:pPr>
        <w:pStyle w:val="BodyText"/>
        <w:numPr>
          <w:ilvl w:val="0"/>
          <w:numId w:val="2"/>
        </w:numPr>
        <w:ind w:left="360" w:right="111"/>
        <w:jc w:val="both"/>
      </w:pPr>
      <w:r>
        <w:t>To that end IPHA and the HSE have created a standard (model) CTA for use between the Site and the Sponsor. The</w:t>
      </w:r>
      <w:r>
        <w:rPr>
          <w:spacing w:val="1"/>
        </w:rPr>
        <w:t xml:space="preserve"> </w:t>
      </w:r>
      <w:r>
        <w:rPr>
          <w:spacing w:val="-1"/>
        </w:rPr>
        <w:t>IPHA</w:t>
      </w:r>
      <w:r w:rsidR="005C4599">
        <w:rPr>
          <w:spacing w:val="-1"/>
        </w:rPr>
        <w:t>&amp;</w:t>
      </w:r>
      <w:r>
        <w:rPr>
          <w:spacing w:val="-1"/>
        </w:rPr>
        <w:t>HSE</w:t>
      </w:r>
      <w:r>
        <w:rPr>
          <w:spacing w:val="-10"/>
        </w:rPr>
        <w:t xml:space="preserve"> </w:t>
      </w:r>
      <w:r>
        <w:rPr>
          <w:spacing w:val="-1"/>
        </w:rPr>
        <w:t>model</w:t>
      </w:r>
      <w:r>
        <w:rPr>
          <w:spacing w:val="-10"/>
        </w:rPr>
        <w:t xml:space="preserve"> </w:t>
      </w:r>
      <w:r>
        <w:t>CTA</w:t>
      </w:r>
      <w:r>
        <w:rPr>
          <w:spacing w:val="-10"/>
        </w:rPr>
        <w:t xml:space="preserve"> </w:t>
      </w:r>
      <w:r>
        <w:t>(</w:t>
      </w:r>
      <w:proofErr w:type="spellStart"/>
      <w:r>
        <w:t>mCTA</w:t>
      </w:r>
      <w:proofErr w:type="spellEnd"/>
      <w:r>
        <w:t>)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reviewed</w:t>
      </w:r>
      <w:r>
        <w:rPr>
          <w:spacing w:val="-12"/>
        </w:rPr>
        <w:t xml:space="preserve"> </w:t>
      </w:r>
      <w:r>
        <w:t>extensively</w:t>
      </w:r>
      <w:r>
        <w:rPr>
          <w:spacing w:val="-11"/>
        </w:rPr>
        <w:t xml:space="preserve"> </w:t>
      </w:r>
      <w:r>
        <w:t xml:space="preserve">to develop a fair and balanced standardised document. The </w:t>
      </w:r>
      <w:proofErr w:type="gramStart"/>
      <w:r>
        <w:t xml:space="preserve">key </w:t>
      </w:r>
      <w:r>
        <w:rPr>
          <w:spacing w:val="-47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proofErr w:type="spellStart"/>
      <w:r>
        <w:t>mCTA</w:t>
      </w:r>
      <w:proofErr w:type="spellEnd"/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standardisation</w:t>
      </w:r>
      <w:r>
        <w:rPr>
          <w:spacing w:val="-4"/>
        </w:rPr>
        <w:t xml:space="preserve"> </w:t>
      </w:r>
      <w:r>
        <w:t>itself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up the process by reducing the number of rounds of discussion and review for this contract. This will</w:t>
      </w:r>
      <w:r>
        <w:rPr>
          <w:spacing w:val="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turn</w:t>
      </w:r>
      <w:r>
        <w:rPr>
          <w:spacing w:val="-3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burden</w:t>
      </w:r>
      <w:r>
        <w:rPr>
          <w:spacing w:val="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hospitals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members.</w:t>
      </w:r>
      <w:r>
        <w:rPr>
          <w:spacing w:val="-5"/>
        </w:rPr>
        <w:t xml:space="preserve"> </w:t>
      </w:r>
      <w:r>
        <w:t>However,</w:t>
      </w:r>
      <w:r>
        <w:rPr>
          <w:spacing w:val="-47"/>
        </w:rPr>
        <w:t xml:space="preserve"> </w:t>
      </w:r>
      <w:r>
        <w:t>critically it will reduce the time taken to start up clinical trials in Ireland thus improving clinical trial</w:t>
      </w:r>
      <w:r>
        <w:rPr>
          <w:spacing w:val="1"/>
        </w:rPr>
        <w:t xml:space="preserve"> </w:t>
      </w:r>
      <w:r>
        <w:t>competitiveness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importantly</w:t>
      </w:r>
      <w:r>
        <w:rPr>
          <w:spacing w:val="-3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health.</w:t>
      </w:r>
    </w:p>
    <w:p w14:paraId="57B841E4" w14:textId="5D7362CE" w:rsidR="00965337" w:rsidRPr="00F122A5" w:rsidRDefault="00965337" w:rsidP="00F122A5"/>
    <w:sectPr w:rsidR="00965337" w:rsidRPr="00F122A5" w:rsidSect="00EB563E">
      <w:pgSz w:w="11906" w:h="16838"/>
      <w:pgMar w:top="851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66E43" w14:textId="77777777" w:rsidR="008D68AD" w:rsidRDefault="008D68AD" w:rsidP="00331AEA">
      <w:r>
        <w:separator/>
      </w:r>
    </w:p>
  </w:endnote>
  <w:endnote w:type="continuationSeparator" w:id="0">
    <w:p w14:paraId="5CC9BFFA" w14:textId="77777777" w:rsidR="008D68AD" w:rsidRDefault="008D68AD" w:rsidP="0033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94845" w14:textId="77777777" w:rsidR="008D68AD" w:rsidRDefault="008D68AD" w:rsidP="00331AEA">
      <w:r>
        <w:separator/>
      </w:r>
    </w:p>
  </w:footnote>
  <w:footnote w:type="continuationSeparator" w:id="0">
    <w:p w14:paraId="04865D68" w14:textId="77777777" w:rsidR="008D68AD" w:rsidRDefault="008D68AD" w:rsidP="00331AEA">
      <w:r>
        <w:continuationSeparator/>
      </w:r>
    </w:p>
  </w:footnote>
  <w:footnote w:id="1">
    <w:p w14:paraId="1803C59F" w14:textId="60F0FBC4" w:rsidR="00331AEA" w:rsidRPr="008C326B" w:rsidRDefault="00331AEA" w:rsidP="008C326B">
      <w:pPr>
        <w:pStyle w:val="BodyText"/>
        <w:ind w:right="119"/>
        <w:jc w:val="both"/>
        <w:rPr>
          <w:color w:val="2F5496" w:themeColor="accent1" w:themeShade="BF"/>
          <w:sz w:val="16"/>
          <w:szCs w:val="16"/>
          <w:shd w:val="clear" w:color="auto" w:fill="FFFFFF"/>
          <w:lang w:val="en-IE"/>
        </w:rPr>
      </w:pPr>
      <w:r w:rsidRPr="0027388F">
        <w:rPr>
          <w:rStyle w:val="FootnoteReference"/>
          <w:color w:val="2F5496" w:themeColor="accent1" w:themeShade="BF"/>
          <w:sz w:val="16"/>
          <w:szCs w:val="16"/>
        </w:rPr>
        <w:footnoteRef/>
      </w:r>
      <w:r w:rsidRPr="0027388F">
        <w:rPr>
          <w:color w:val="2F5496" w:themeColor="accent1" w:themeShade="BF"/>
          <w:sz w:val="16"/>
          <w:szCs w:val="16"/>
        </w:rPr>
        <w:t xml:space="preserve"> </w:t>
      </w:r>
      <w:r w:rsidRPr="0027388F">
        <w:rPr>
          <w:color w:val="2F5496" w:themeColor="accent1" w:themeShade="BF"/>
          <w:sz w:val="16"/>
          <w:szCs w:val="16"/>
          <w:shd w:val="clear" w:color="auto" w:fill="FFFFFF"/>
          <w:lang w:val="en-IE"/>
        </w:rPr>
        <w:t>Standard contractual clauses for data transfers between EU and non-EU countries</w:t>
      </w:r>
      <w:r w:rsidR="008C326B">
        <w:rPr>
          <w:color w:val="2F5496" w:themeColor="accent1" w:themeShade="BF"/>
          <w:sz w:val="16"/>
          <w:szCs w:val="16"/>
          <w:shd w:val="clear" w:color="auto" w:fill="FFFFFF"/>
          <w:lang w:val="en-IE"/>
        </w:rPr>
        <w:t xml:space="preserve"> (see </w:t>
      </w:r>
      <w:hyperlink r:id="rId1" w:history="1">
        <w:r w:rsidR="00466A04" w:rsidRPr="00956BF9">
          <w:rPr>
            <w:rStyle w:val="Hyperlink"/>
            <w:sz w:val="16"/>
            <w:szCs w:val="16"/>
            <w:shd w:val="clear" w:color="auto" w:fill="FFFFFF"/>
            <w:lang w:val="en-IE"/>
          </w:rPr>
          <w:t>https://ec.europa.eu/info/law/law-topic/data-protection/publications/standard-contractual-clauses-controllers-and-processors</w:t>
        </w:r>
      </w:hyperlink>
      <w:r w:rsidR="008C326B">
        <w:rPr>
          <w:color w:val="2F5496" w:themeColor="accent1" w:themeShade="BF"/>
          <w:sz w:val="16"/>
          <w:szCs w:val="16"/>
          <w:shd w:val="clear" w:color="auto" w:fill="FFFFFF"/>
          <w:lang w:val="en-IE"/>
        </w:rPr>
        <w:t>)</w:t>
      </w:r>
    </w:p>
  </w:footnote>
  <w:footnote w:id="2">
    <w:p w14:paraId="55B498A8" w14:textId="77777777" w:rsidR="00E1764B" w:rsidRPr="00331AEA" w:rsidRDefault="00E1764B" w:rsidP="0027388F">
      <w:pPr>
        <w:pStyle w:val="BodyText"/>
        <w:ind w:right="119"/>
        <w:jc w:val="both"/>
        <w:rPr>
          <w:color w:val="7030A0"/>
          <w:sz w:val="20"/>
          <w:szCs w:val="20"/>
        </w:rPr>
      </w:pPr>
      <w:r w:rsidRPr="0027388F">
        <w:rPr>
          <w:rStyle w:val="FootnoteReference"/>
          <w:color w:val="2F5496" w:themeColor="accent1" w:themeShade="BF"/>
          <w:sz w:val="16"/>
          <w:szCs w:val="16"/>
        </w:rPr>
        <w:footnoteRef/>
      </w:r>
      <w:r w:rsidRPr="0027388F">
        <w:rPr>
          <w:color w:val="2F5496" w:themeColor="accent1" w:themeShade="BF"/>
          <w:sz w:val="16"/>
          <w:szCs w:val="16"/>
        </w:rPr>
        <w:t xml:space="preserve"> This is a Bipartite contract intended to formalise the agreement between the Clinical Trial Site and</w:t>
      </w:r>
      <w:r w:rsidRPr="0027388F">
        <w:rPr>
          <w:color w:val="2F5496" w:themeColor="accent1" w:themeShade="BF"/>
          <w:spacing w:val="1"/>
          <w:sz w:val="16"/>
          <w:szCs w:val="16"/>
        </w:rPr>
        <w:t xml:space="preserve"> </w:t>
      </w:r>
      <w:r w:rsidRPr="0027388F">
        <w:rPr>
          <w:color w:val="2F5496" w:themeColor="accent1" w:themeShade="BF"/>
          <w:sz w:val="16"/>
          <w:szCs w:val="16"/>
        </w:rPr>
        <w:t>the</w:t>
      </w:r>
      <w:r w:rsidRPr="0027388F">
        <w:rPr>
          <w:color w:val="2F5496" w:themeColor="accent1" w:themeShade="BF"/>
          <w:spacing w:val="-3"/>
          <w:sz w:val="16"/>
          <w:szCs w:val="16"/>
        </w:rPr>
        <w:t xml:space="preserve"> </w:t>
      </w:r>
      <w:r w:rsidRPr="0027388F">
        <w:rPr>
          <w:color w:val="2F5496" w:themeColor="accent1" w:themeShade="BF"/>
          <w:sz w:val="16"/>
          <w:szCs w:val="16"/>
        </w:rPr>
        <w:t>Sponsor,</w:t>
      </w:r>
      <w:r w:rsidRPr="0027388F">
        <w:rPr>
          <w:color w:val="2F5496" w:themeColor="accent1" w:themeShade="BF"/>
          <w:spacing w:val="-1"/>
          <w:sz w:val="16"/>
          <w:szCs w:val="16"/>
        </w:rPr>
        <w:t xml:space="preserve"> </w:t>
      </w:r>
      <w:r w:rsidRPr="0027388F">
        <w:rPr>
          <w:color w:val="2F5496" w:themeColor="accent1" w:themeShade="BF"/>
          <w:sz w:val="16"/>
          <w:szCs w:val="16"/>
        </w:rPr>
        <w:t>thus</w:t>
      </w:r>
      <w:r w:rsidRPr="0027388F">
        <w:rPr>
          <w:color w:val="2F5496" w:themeColor="accent1" w:themeShade="BF"/>
          <w:spacing w:val="2"/>
          <w:sz w:val="16"/>
          <w:szCs w:val="16"/>
        </w:rPr>
        <w:t xml:space="preserve"> </w:t>
      </w:r>
      <w:r w:rsidRPr="0027388F">
        <w:rPr>
          <w:color w:val="2F5496" w:themeColor="accent1" w:themeShade="BF"/>
          <w:sz w:val="16"/>
          <w:szCs w:val="16"/>
        </w:rPr>
        <w:t>only</w:t>
      </w:r>
      <w:r w:rsidRPr="0027388F">
        <w:rPr>
          <w:color w:val="2F5496" w:themeColor="accent1" w:themeShade="BF"/>
          <w:spacing w:val="-3"/>
          <w:sz w:val="16"/>
          <w:szCs w:val="16"/>
        </w:rPr>
        <w:t xml:space="preserve"> </w:t>
      </w:r>
      <w:r w:rsidRPr="0027388F">
        <w:rPr>
          <w:color w:val="2F5496" w:themeColor="accent1" w:themeShade="BF"/>
          <w:sz w:val="16"/>
          <w:szCs w:val="16"/>
        </w:rPr>
        <w:t>the</w:t>
      </w:r>
      <w:r w:rsidRPr="0027388F">
        <w:rPr>
          <w:color w:val="2F5496" w:themeColor="accent1" w:themeShade="BF"/>
          <w:spacing w:val="-3"/>
          <w:sz w:val="16"/>
          <w:szCs w:val="16"/>
        </w:rPr>
        <w:t xml:space="preserve"> </w:t>
      </w:r>
      <w:r w:rsidRPr="0027388F">
        <w:rPr>
          <w:color w:val="2F5496" w:themeColor="accent1" w:themeShade="BF"/>
          <w:sz w:val="16"/>
          <w:szCs w:val="16"/>
        </w:rPr>
        <w:t>site</w:t>
      </w:r>
      <w:r w:rsidRPr="0027388F">
        <w:rPr>
          <w:color w:val="2F5496" w:themeColor="accent1" w:themeShade="BF"/>
          <w:spacing w:val="-2"/>
          <w:sz w:val="16"/>
          <w:szCs w:val="16"/>
        </w:rPr>
        <w:t xml:space="preserve"> </w:t>
      </w:r>
      <w:r w:rsidRPr="0027388F">
        <w:rPr>
          <w:color w:val="2F5496" w:themeColor="accent1" w:themeShade="BF"/>
          <w:sz w:val="16"/>
          <w:szCs w:val="16"/>
        </w:rPr>
        <w:t>signature</w:t>
      </w:r>
      <w:r w:rsidRPr="0027388F">
        <w:rPr>
          <w:color w:val="2F5496" w:themeColor="accent1" w:themeShade="BF"/>
          <w:spacing w:val="-3"/>
          <w:sz w:val="16"/>
          <w:szCs w:val="16"/>
        </w:rPr>
        <w:t xml:space="preserve"> </w:t>
      </w:r>
      <w:r w:rsidRPr="0027388F">
        <w:rPr>
          <w:color w:val="2F5496" w:themeColor="accent1" w:themeShade="BF"/>
          <w:sz w:val="16"/>
          <w:szCs w:val="16"/>
        </w:rPr>
        <w:t>and</w:t>
      </w:r>
      <w:r w:rsidRPr="0027388F">
        <w:rPr>
          <w:color w:val="2F5496" w:themeColor="accent1" w:themeShade="BF"/>
          <w:spacing w:val="-4"/>
          <w:sz w:val="16"/>
          <w:szCs w:val="16"/>
        </w:rPr>
        <w:t xml:space="preserve"> </w:t>
      </w:r>
      <w:r w:rsidRPr="0027388F">
        <w:rPr>
          <w:color w:val="2F5496" w:themeColor="accent1" w:themeShade="BF"/>
          <w:sz w:val="16"/>
          <w:szCs w:val="16"/>
        </w:rPr>
        <w:t>Sponsor</w:t>
      </w:r>
      <w:r w:rsidRPr="0027388F">
        <w:rPr>
          <w:color w:val="2F5496" w:themeColor="accent1" w:themeShade="BF"/>
          <w:spacing w:val="-2"/>
          <w:sz w:val="16"/>
          <w:szCs w:val="16"/>
        </w:rPr>
        <w:t xml:space="preserve"> </w:t>
      </w:r>
      <w:r w:rsidRPr="0027388F">
        <w:rPr>
          <w:color w:val="2F5496" w:themeColor="accent1" w:themeShade="BF"/>
          <w:sz w:val="16"/>
          <w:szCs w:val="16"/>
        </w:rPr>
        <w:t>signature</w:t>
      </w:r>
      <w:r w:rsidRPr="0027388F">
        <w:rPr>
          <w:color w:val="2F5496" w:themeColor="accent1" w:themeShade="BF"/>
          <w:spacing w:val="-3"/>
          <w:sz w:val="16"/>
          <w:szCs w:val="16"/>
        </w:rPr>
        <w:t xml:space="preserve"> </w:t>
      </w:r>
      <w:r w:rsidRPr="0027388F">
        <w:rPr>
          <w:color w:val="2F5496" w:themeColor="accent1" w:themeShade="BF"/>
          <w:sz w:val="16"/>
          <w:szCs w:val="16"/>
        </w:rPr>
        <w:t>is</w:t>
      </w:r>
      <w:r w:rsidRPr="0027388F">
        <w:rPr>
          <w:color w:val="2F5496" w:themeColor="accent1" w:themeShade="BF"/>
          <w:spacing w:val="-2"/>
          <w:sz w:val="16"/>
          <w:szCs w:val="16"/>
        </w:rPr>
        <w:t xml:space="preserve"> </w:t>
      </w:r>
      <w:r w:rsidRPr="0027388F">
        <w:rPr>
          <w:color w:val="2F5496" w:themeColor="accent1" w:themeShade="BF"/>
          <w:sz w:val="16"/>
          <w:szCs w:val="16"/>
        </w:rPr>
        <w:t>required</w:t>
      </w:r>
      <w:r w:rsidRPr="0027388F">
        <w:rPr>
          <w:color w:val="2F5496" w:themeColor="accent1" w:themeShade="BF"/>
          <w:spacing w:val="-4"/>
          <w:sz w:val="16"/>
          <w:szCs w:val="16"/>
        </w:rPr>
        <w:t xml:space="preserve"> </w:t>
      </w:r>
      <w:r w:rsidRPr="0027388F">
        <w:rPr>
          <w:color w:val="2F5496" w:themeColor="accent1" w:themeShade="BF"/>
          <w:sz w:val="16"/>
          <w:szCs w:val="16"/>
        </w:rPr>
        <w:t>for</w:t>
      </w:r>
      <w:r w:rsidRPr="0027388F">
        <w:rPr>
          <w:color w:val="2F5496" w:themeColor="accent1" w:themeShade="BF"/>
          <w:spacing w:val="-3"/>
          <w:sz w:val="16"/>
          <w:szCs w:val="16"/>
        </w:rPr>
        <w:t xml:space="preserve"> </w:t>
      </w:r>
      <w:r w:rsidRPr="0027388F">
        <w:rPr>
          <w:color w:val="2F5496" w:themeColor="accent1" w:themeShade="BF"/>
          <w:sz w:val="16"/>
          <w:szCs w:val="16"/>
        </w:rPr>
        <w:t>this</w:t>
      </w:r>
      <w:r w:rsidRPr="0027388F">
        <w:rPr>
          <w:color w:val="2F5496" w:themeColor="accent1" w:themeShade="BF"/>
          <w:spacing w:val="-2"/>
          <w:sz w:val="16"/>
          <w:szCs w:val="16"/>
        </w:rPr>
        <w:t xml:space="preserve"> </w:t>
      </w:r>
      <w:r w:rsidRPr="0027388F">
        <w:rPr>
          <w:color w:val="2F5496" w:themeColor="accent1" w:themeShade="BF"/>
          <w:sz w:val="16"/>
          <w:szCs w:val="16"/>
        </w:rPr>
        <w:t>document.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64CCA"/>
    <w:multiLevelType w:val="hybridMultilevel"/>
    <w:tmpl w:val="5D340A2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36DE6"/>
    <w:multiLevelType w:val="hybridMultilevel"/>
    <w:tmpl w:val="BE14B2C8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24253">
    <w:abstractNumId w:val="0"/>
  </w:num>
  <w:num w:numId="2" w16cid:durableId="331377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A5"/>
    <w:rsid w:val="00037F15"/>
    <w:rsid w:val="0011451B"/>
    <w:rsid w:val="001E531F"/>
    <w:rsid w:val="00205D19"/>
    <w:rsid w:val="0027388F"/>
    <w:rsid w:val="00331AEA"/>
    <w:rsid w:val="00345599"/>
    <w:rsid w:val="00350896"/>
    <w:rsid w:val="003A3FF1"/>
    <w:rsid w:val="00414146"/>
    <w:rsid w:val="00466A04"/>
    <w:rsid w:val="0052589E"/>
    <w:rsid w:val="005C4599"/>
    <w:rsid w:val="005F7CB3"/>
    <w:rsid w:val="0062397E"/>
    <w:rsid w:val="00641C2A"/>
    <w:rsid w:val="00654432"/>
    <w:rsid w:val="006C1A87"/>
    <w:rsid w:val="00725716"/>
    <w:rsid w:val="00836A0F"/>
    <w:rsid w:val="0086283C"/>
    <w:rsid w:val="008C326B"/>
    <w:rsid w:val="008D68AD"/>
    <w:rsid w:val="00965337"/>
    <w:rsid w:val="00A00E8C"/>
    <w:rsid w:val="00A72BA9"/>
    <w:rsid w:val="00A73FDE"/>
    <w:rsid w:val="00B26A6A"/>
    <w:rsid w:val="00C575DA"/>
    <w:rsid w:val="00C822DF"/>
    <w:rsid w:val="00CD59B6"/>
    <w:rsid w:val="00CD657E"/>
    <w:rsid w:val="00DD164C"/>
    <w:rsid w:val="00DE0F4F"/>
    <w:rsid w:val="00E1764B"/>
    <w:rsid w:val="00E4485A"/>
    <w:rsid w:val="00EA168B"/>
    <w:rsid w:val="00EB563E"/>
    <w:rsid w:val="00F122A5"/>
    <w:rsid w:val="00F7224A"/>
    <w:rsid w:val="00F876E4"/>
    <w:rsid w:val="00FB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F829"/>
  <w15:chartTrackingRefBased/>
  <w15:docId w15:val="{BE9892A9-7FF8-45F9-9212-A087B055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22A5"/>
  </w:style>
  <w:style w:type="character" w:customStyle="1" w:styleId="BodyTextChar">
    <w:name w:val="Body Text Char"/>
    <w:basedOn w:val="DefaultParagraphFont"/>
    <w:link w:val="BodyText"/>
    <w:uiPriority w:val="1"/>
    <w:rsid w:val="00F122A5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F122A5"/>
    <w:pPr>
      <w:spacing w:before="43"/>
      <w:ind w:left="3922" w:hanging="3573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F122A5"/>
    <w:rPr>
      <w:rFonts w:ascii="Calibri" w:eastAsia="Calibri" w:hAnsi="Calibri" w:cs="Calibri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1A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AEA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1A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0896"/>
    <w:pPr>
      <w:ind w:left="720"/>
      <w:contextualSpacing/>
    </w:pPr>
  </w:style>
  <w:style w:type="table" w:styleId="TableGrid">
    <w:name w:val="Table Grid"/>
    <w:basedOn w:val="TableNormal"/>
    <w:uiPriority w:val="39"/>
    <w:rsid w:val="00C8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6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A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6A0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B56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law/law-topic/data-protection/publications/standard-contractual-clauses-controllers-and-process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8A710EBB03644A9DADC30770CE2BF" ma:contentTypeVersion="16" ma:contentTypeDescription="Create a new document." ma:contentTypeScope="" ma:versionID="af91f8a4e9b58533416714576530367b">
  <xsd:schema xmlns:xsd="http://www.w3.org/2001/XMLSchema" xmlns:xs="http://www.w3.org/2001/XMLSchema" xmlns:p="http://schemas.microsoft.com/office/2006/metadata/properties" xmlns:ns2="10acc288-0dd2-4f1d-8da8-cc14f7800129" xmlns:ns3="238b9336-45aa-42e6-8b22-16769e4a8785" xmlns:ns4="5d592815-92ee-4bab-9b1a-ee1a4f57c4b2" targetNamespace="http://schemas.microsoft.com/office/2006/metadata/properties" ma:root="true" ma:fieldsID="66b00613fa65b20bd6132db13a13969a" ns2:_="" ns3:_="" ns4:_="">
    <xsd:import namespace="10acc288-0dd2-4f1d-8da8-cc14f7800129"/>
    <xsd:import namespace="238b9336-45aa-42e6-8b22-16769e4a8785"/>
    <xsd:import namespace="5d592815-92ee-4bab-9b1a-ee1a4f57c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c288-0dd2-4f1d-8da8-cc14f7800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7245c84-c119-4115-bad1-baccb7c29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b9336-45aa-42e6-8b22-16769e4a87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36567f-ae45-44ac-97ef-c7fdc7a34597}" ma:internalName="TaxCatchAll" ma:showField="CatchAllData" ma:web="238b9336-45aa-42e6-8b22-16769e4a8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92815-92ee-4bab-9b1a-ee1a4f57c4b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8b9336-45aa-42e6-8b22-16769e4a8785" xsi:nil="true"/>
    <lcf76f155ced4ddcb4097134ff3c332f xmlns="10acc288-0dd2-4f1d-8da8-cc14f78001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1C75F-6E66-4047-B6F2-C557EB0E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cc288-0dd2-4f1d-8da8-cc14f7800129"/>
    <ds:schemaRef ds:uri="238b9336-45aa-42e6-8b22-16769e4a8785"/>
    <ds:schemaRef ds:uri="5d592815-92ee-4bab-9b1a-ee1a4f57c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4D704-A540-41AE-A60A-B9774A4727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E04710-8364-43E1-AACB-63E81346A60B}">
  <ds:schemaRefs>
    <ds:schemaRef ds:uri="http://schemas.microsoft.com/office/2006/metadata/properties"/>
    <ds:schemaRef ds:uri="http://schemas.microsoft.com/office/infopath/2007/PartnerControls"/>
    <ds:schemaRef ds:uri="238b9336-45aa-42e6-8b22-16769e4a8785"/>
    <ds:schemaRef ds:uri="10acc288-0dd2-4f1d-8da8-cc14f7800129"/>
  </ds:schemaRefs>
</ds:datastoreItem>
</file>

<file path=customXml/itemProps4.xml><?xml version="1.0" encoding="utf-8"?>
<ds:datastoreItem xmlns:ds="http://schemas.openxmlformats.org/officeDocument/2006/customXml" ds:itemID="{ACB36B9A-503F-4447-942F-80A855791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Brophy</dc:creator>
  <cp:keywords/>
  <dc:description/>
  <cp:lastModifiedBy>Amy Brophy</cp:lastModifiedBy>
  <cp:revision>2</cp:revision>
  <cp:lastPrinted>2024-08-27T10:31:00Z</cp:lastPrinted>
  <dcterms:created xsi:type="dcterms:W3CDTF">2024-08-27T12:39:00Z</dcterms:created>
  <dcterms:modified xsi:type="dcterms:W3CDTF">2024-08-27T12:39:00Z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0x010100A808A710EBB03644A9DADC30770CE2BF</vt:lpwstr>
  </property>
  <property fmtid="{D5CDD505-2E9C-101B-9397-08002B2CF9AE}" pid="3" name="MediaServiceImageTags">
    <vt:lpwstr/>
  </property>
</Properties>
</file>