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147" w:type="dxa"/>
        <w:tblLayout w:type="fixed"/>
        <w:tblLook w:val="04A0" w:firstRow="1" w:lastRow="0" w:firstColumn="1" w:lastColumn="0" w:noHBand="0" w:noVBand="1"/>
      </w:tblPr>
      <w:tblGrid>
        <w:gridCol w:w="3969"/>
        <w:gridCol w:w="5954"/>
      </w:tblGrid>
      <w:tr w:rsidR="00C822DF" w14:paraId="17F4D957" w14:textId="77777777" w:rsidTr="00A063F1">
        <w:trPr>
          <w:trHeight w:val="1975"/>
        </w:trPr>
        <w:tc>
          <w:tcPr>
            <w:tcW w:w="3969" w:type="dxa"/>
          </w:tcPr>
          <w:p w14:paraId="3AD7BCDF" w14:textId="18781620" w:rsidR="00C822DF" w:rsidRPr="00CD59B6" w:rsidRDefault="00C822DF" w:rsidP="00C822DF">
            <w:pPr>
              <w:pStyle w:val="Title"/>
              <w:spacing w:line="256" w:lineRule="auto"/>
              <w:ind w:left="0" w:firstLine="0"/>
              <w:rPr>
                <w:color w:val="7030A0"/>
                <w:sz w:val="16"/>
                <w:szCs w:val="16"/>
              </w:rPr>
            </w:pPr>
            <w:r w:rsidRPr="00CD59B6">
              <w:rPr>
                <w:noProof/>
                <w:color w:val="7030A0"/>
                <w:sz w:val="16"/>
                <w:szCs w:val="16"/>
              </w:rPr>
              <w:drawing>
                <wp:anchor distT="0" distB="0" distL="114300" distR="114300" simplePos="0" relativeHeight="251658240" behindDoc="1" locked="0" layoutInCell="1" allowOverlap="1" wp14:anchorId="51F57F59" wp14:editId="6D52CCC2">
                  <wp:simplePos x="0" y="0"/>
                  <wp:positionH relativeFrom="column">
                    <wp:posOffset>-65405</wp:posOffset>
                  </wp:positionH>
                  <wp:positionV relativeFrom="paragraph">
                    <wp:posOffset>278765</wp:posOffset>
                  </wp:positionV>
                  <wp:extent cx="2463800" cy="685165"/>
                  <wp:effectExtent l="0" t="0" r="0" b="635"/>
                  <wp:wrapTight wrapText="bothSides">
                    <wp:wrapPolygon edited="0">
                      <wp:start x="0" y="0"/>
                      <wp:lineTo x="0" y="21019"/>
                      <wp:lineTo x="21377" y="21019"/>
                      <wp:lineTo x="21377"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3800" cy="685165"/>
                          </a:xfrm>
                          <a:prstGeom prst="rect">
                            <a:avLst/>
                          </a:prstGeom>
                        </pic:spPr>
                      </pic:pic>
                    </a:graphicData>
                  </a:graphic>
                  <wp14:sizeRelH relativeFrom="margin">
                    <wp14:pctWidth>0</wp14:pctWidth>
                  </wp14:sizeRelH>
                  <wp14:sizeRelV relativeFrom="margin">
                    <wp14:pctHeight>0</wp14:pctHeight>
                  </wp14:sizeRelV>
                </wp:anchor>
              </w:drawing>
            </w:r>
          </w:p>
        </w:tc>
        <w:tc>
          <w:tcPr>
            <w:tcW w:w="5954" w:type="dxa"/>
          </w:tcPr>
          <w:p w14:paraId="13DCC84D" w14:textId="7ECDFF19" w:rsidR="0027388F" w:rsidRPr="0027388F" w:rsidRDefault="00C822DF" w:rsidP="00C822DF">
            <w:pPr>
              <w:pStyle w:val="Title"/>
              <w:spacing w:line="256" w:lineRule="auto"/>
              <w:ind w:left="0" w:firstLine="0"/>
              <w:jc w:val="center"/>
              <w:rPr>
                <w:color w:val="2F5496" w:themeColor="accent1" w:themeShade="BF"/>
                <w:spacing w:val="-4"/>
                <w:sz w:val="36"/>
                <w:szCs w:val="36"/>
              </w:rPr>
            </w:pPr>
            <w:r w:rsidRPr="0027388F">
              <w:rPr>
                <w:color w:val="2F5496" w:themeColor="accent1" w:themeShade="BF"/>
                <w:sz w:val="36"/>
                <w:szCs w:val="36"/>
              </w:rPr>
              <w:t>Explanatory note</w:t>
            </w:r>
            <w:r w:rsidR="00414146">
              <w:rPr>
                <w:color w:val="2F5496" w:themeColor="accent1" w:themeShade="BF"/>
                <w:spacing w:val="-3"/>
                <w:sz w:val="36"/>
                <w:szCs w:val="36"/>
              </w:rPr>
              <w:t xml:space="preserve"> </w:t>
            </w:r>
            <w:r w:rsidRPr="0027388F">
              <w:rPr>
                <w:color w:val="2F5496" w:themeColor="accent1" w:themeShade="BF"/>
                <w:sz w:val="36"/>
                <w:szCs w:val="36"/>
              </w:rPr>
              <w:t>for</w:t>
            </w:r>
            <w:r w:rsidRPr="0027388F">
              <w:rPr>
                <w:color w:val="2F5496" w:themeColor="accent1" w:themeShade="BF"/>
                <w:spacing w:val="-5"/>
                <w:sz w:val="36"/>
                <w:szCs w:val="36"/>
              </w:rPr>
              <w:t xml:space="preserve"> </w:t>
            </w:r>
            <w:r w:rsidRPr="0027388F">
              <w:rPr>
                <w:color w:val="2F5496" w:themeColor="accent1" w:themeShade="BF"/>
                <w:sz w:val="36"/>
                <w:szCs w:val="36"/>
              </w:rPr>
              <w:t>the</w:t>
            </w:r>
            <w:r w:rsidRPr="0027388F">
              <w:rPr>
                <w:color w:val="2F5496" w:themeColor="accent1" w:themeShade="BF"/>
                <w:spacing w:val="-4"/>
                <w:sz w:val="36"/>
                <w:szCs w:val="36"/>
              </w:rPr>
              <w:t xml:space="preserve"> </w:t>
            </w:r>
          </w:p>
          <w:p w14:paraId="5B2967E3" w14:textId="7DBE5B53" w:rsidR="0027388F" w:rsidRPr="0027388F" w:rsidRDefault="0070479B" w:rsidP="00C822DF">
            <w:pPr>
              <w:pStyle w:val="Title"/>
              <w:spacing w:line="256" w:lineRule="auto"/>
              <w:ind w:left="0" w:firstLine="0"/>
              <w:jc w:val="center"/>
              <w:rPr>
                <w:color w:val="2F5496" w:themeColor="accent1" w:themeShade="BF"/>
                <w:spacing w:val="-4"/>
                <w:sz w:val="36"/>
                <w:szCs w:val="36"/>
              </w:rPr>
            </w:pPr>
            <w:r>
              <w:rPr>
                <w:color w:val="2F5496" w:themeColor="accent1" w:themeShade="BF"/>
                <w:spacing w:val="-4"/>
                <w:sz w:val="36"/>
                <w:szCs w:val="36"/>
              </w:rPr>
              <w:t>2</w:t>
            </w:r>
            <w:r w:rsidR="00A063F1">
              <w:rPr>
                <w:color w:val="2F5496" w:themeColor="accent1" w:themeShade="BF"/>
                <w:spacing w:val="-4"/>
                <w:sz w:val="36"/>
                <w:szCs w:val="36"/>
              </w:rPr>
              <w:t>0.05.</w:t>
            </w:r>
            <w:r w:rsidR="00C822DF" w:rsidRPr="0027388F">
              <w:rPr>
                <w:color w:val="2F5496" w:themeColor="accent1" w:themeShade="BF"/>
                <w:spacing w:val="-4"/>
                <w:sz w:val="36"/>
                <w:szCs w:val="36"/>
              </w:rPr>
              <w:t>2</w:t>
            </w:r>
            <w:r>
              <w:rPr>
                <w:color w:val="2F5496" w:themeColor="accent1" w:themeShade="BF"/>
                <w:spacing w:val="-4"/>
                <w:sz w:val="36"/>
                <w:szCs w:val="36"/>
              </w:rPr>
              <w:t>4</w:t>
            </w:r>
          </w:p>
          <w:p w14:paraId="19E0598C" w14:textId="5BBA522A" w:rsidR="0027388F" w:rsidRPr="0027388F" w:rsidRDefault="0070479B" w:rsidP="00C822DF">
            <w:pPr>
              <w:pStyle w:val="Title"/>
              <w:spacing w:line="256" w:lineRule="auto"/>
              <w:ind w:left="0" w:firstLine="0"/>
              <w:jc w:val="center"/>
              <w:rPr>
                <w:color w:val="2F5496" w:themeColor="accent1" w:themeShade="BF"/>
                <w:spacing w:val="2"/>
                <w:sz w:val="36"/>
                <w:szCs w:val="36"/>
              </w:rPr>
            </w:pPr>
            <w:r>
              <w:rPr>
                <w:color w:val="2F5496" w:themeColor="accent1" w:themeShade="BF"/>
                <w:sz w:val="36"/>
                <w:szCs w:val="36"/>
              </w:rPr>
              <w:t xml:space="preserve">Tripartite CRO </w:t>
            </w:r>
            <w:r w:rsidR="00C822DF" w:rsidRPr="0027388F">
              <w:rPr>
                <w:color w:val="2F5496" w:themeColor="accent1" w:themeShade="BF"/>
                <w:sz w:val="36"/>
                <w:szCs w:val="36"/>
              </w:rPr>
              <w:t>model</w:t>
            </w:r>
            <w:r w:rsidR="00C822DF" w:rsidRPr="0027388F">
              <w:rPr>
                <w:color w:val="2F5496" w:themeColor="accent1" w:themeShade="BF"/>
                <w:spacing w:val="-5"/>
                <w:sz w:val="36"/>
                <w:szCs w:val="36"/>
              </w:rPr>
              <w:t xml:space="preserve"> </w:t>
            </w:r>
            <w:bookmarkStart w:id="0" w:name="_Hlk119653213"/>
            <w:r w:rsidR="00C822DF" w:rsidRPr="0027388F">
              <w:rPr>
                <w:color w:val="2F5496" w:themeColor="accent1" w:themeShade="BF"/>
                <w:sz w:val="36"/>
                <w:szCs w:val="36"/>
              </w:rPr>
              <w:t>Clinical</w:t>
            </w:r>
            <w:r w:rsidR="00C822DF" w:rsidRPr="0027388F">
              <w:rPr>
                <w:color w:val="2F5496" w:themeColor="accent1" w:themeShade="BF"/>
                <w:spacing w:val="-5"/>
                <w:sz w:val="36"/>
                <w:szCs w:val="36"/>
              </w:rPr>
              <w:t xml:space="preserve"> </w:t>
            </w:r>
            <w:r w:rsidR="00C822DF" w:rsidRPr="0027388F">
              <w:rPr>
                <w:color w:val="2F5496" w:themeColor="accent1" w:themeShade="BF"/>
                <w:sz w:val="36"/>
                <w:szCs w:val="36"/>
              </w:rPr>
              <w:t>Trial</w:t>
            </w:r>
            <w:r w:rsidR="00C822DF" w:rsidRPr="0027388F">
              <w:rPr>
                <w:color w:val="2F5496" w:themeColor="accent1" w:themeShade="BF"/>
                <w:spacing w:val="-5"/>
                <w:sz w:val="36"/>
                <w:szCs w:val="36"/>
              </w:rPr>
              <w:t xml:space="preserve"> </w:t>
            </w:r>
            <w:r w:rsidR="00C822DF" w:rsidRPr="0027388F">
              <w:rPr>
                <w:color w:val="2F5496" w:themeColor="accent1" w:themeShade="BF"/>
                <w:sz w:val="36"/>
                <w:szCs w:val="36"/>
              </w:rPr>
              <w:t>Agreement</w:t>
            </w:r>
            <w:r w:rsidR="00C822DF" w:rsidRPr="0027388F">
              <w:rPr>
                <w:color w:val="2F5496" w:themeColor="accent1" w:themeShade="BF"/>
                <w:spacing w:val="2"/>
                <w:sz w:val="36"/>
                <w:szCs w:val="36"/>
              </w:rPr>
              <w:t xml:space="preserve"> </w:t>
            </w:r>
            <w:bookmarkEnd w:id="0"/>
          </w:p>
          <w:p w14:paraId="01759C2B" w14:textId="63321114" w:rsidR="00C822DF" w:rsidRPr="0027388F" w:rsidRDefault="00C822DF" w:rsidP="00C822DF">
            <w:pPr>
              <w:pStyle w:val="Title"/>
              <w:spacing w:line="256" w:lineRule="auto"/>
              <w:ind w:left="0" w:firstLine="0"/>
              <w:jc w:val="center"/>
              <w:rPr>
                <w:color w:val="7030A0"/>
                <w:sz w:val="24"/>
                <w:szCs w:val="24"/>
              </w:rPr>
            </w:pPr>
            <w:r w:rsidRPr="0027388F">
              <w:rPr>
                <w:color w:val="2F5496" w:themeColor="accent1" w:themeShade="BF"/>
                <w:sz w:val="24"/>
                <w:szCs w:val="24"/>
              </w:rPr>
              <w:t>for</w:t>
            </w:r>
            <w:r w:rsidRPr="0027388F">
              <w:rPr>
                <w:color w:val="2F5496" w:themeColor="accent1" w:themeShade="BF"/>
                <w:spacing w:val="-5"/>
                <w:sz w:val="24"/>
                <w:szCs w:val="24"/>
              </w:rPr>
              <w:t xml:space="preserve"> </w:t>
            </w:r>
            <w:r w:rsidRPr="0027388F">
              <w:rPr>
                <w:color w:val="2F5496" w:themeColor="accent1" w:themeShade="BF"/>
                <w:sz w:val="24"/>
                <w:szCs w:val="24"/>
              </w:rPr>
              <w:t>use</w:t>
            </w:r>
            <w:r w:rsidRPr="0027388F">
              <w:rPr>
                <w:color w:val="2F5496" w:themeColor="accent1" w:themeShade="BF"/>
                <w:spacing w:val="-4"/>
                <w:sz w:val="24"/>
                <w:szCs w:val="24"/>
              </w:rPr>
              <w:t xml:space="preserve"> </w:t>
            </w:r>
            <w:r w:rsidRPr="0027388F">
              <w:rPr>
                <w:color w:val="2F5496" w:themeColor="accent1" w:themeShade="BF"/>
                <w:sz w:val="24"/>
                <w:szCs w:val="24"/>
              </w:rPr>
              <w:t>in</w:t>
            </w:r>
            <w:r w:rsidRPr="0027388F">
              <w:rPr>
                <w:color w:val="2F5496" w:themeColor="accent1" w:themeShade="BF"/>
                <w:spacing w:val="-2"/>
                <w:sz w:val="24"/>
                <w:szCs w:val="24"/>
              </w:rPr>
              <w:t xml:space="preserve"> </w:t>
            </w:r>
            <w:r w:rsidRPr="0027388F">
              <w:rPr>
                <w:color w:val="2F5496" w:themeColor="accent1" w:themeShade="BF"/>
                <w:sz w:val="24"/>
                <w:szCs w:val="24"/>
              </w:rPr>
              <w:t>all</w:t>
            </w:r>
            <w:r w:rsidRPr="0027388F">
              <w:rPr>
                <w:color w:val="2F5496" w:themeColor="accent1" w:themeShade="BF"/>
                <w:spacing w:val="-5"/>
                <w:sz w:val="24"/>
                <w:szCs w:val="24"/>
              </w:rPr>
              <w:t xml:space="preserve"> </w:t>
            </w:r>
            <w:r w:rsidRPr="0027388F">
              <w:rPr>
                <w:color w:val="2F5496" w:themeColor="accent1" w:themeShade="BF"/>
                <w:sz w:val="24"/>
                <w:szCs w:val="24"/>
              </w:rPr>
              <w:t>interventional</w:t>
            </w:r>
            <w:r w:rsidRPr="0027388F">
              <w:rPr>
                <w:color w:val="2F5496" w:themeColor="accent1" w:themeShade="BF"/>
                <w:spacing w:val="-5"/>
                <w:sz w:val="24"/>
                <w:szCs w:val="24"/>
              </w:rPr>
              <w:t xml:space="preserve"> </w:t>
            </w:r>
            <w:r w:rsidRPr="0027388F">
              <w:rPr>
                <w:color w:val="2F5496" w:themeColor="accent1" w:themeShade="BF"/>
                <w:sz w:val="24"/>
                <w:szCs w:val="24"/>
              </w:rPr>
              <w:t>clinical</w:t>
            </w:r>
            <w:r w:rsidRPr="0027388F">
              <w:rPr>
                <w:color w:val="2F5496" w:themeColor="accent1" w:themeShade="BF"/>
                <w:spacing w:val="-47"/>
                <w:sz w:val="24"/>
                <w:szCs w:val="24"/>
              </w:rPr>
              <w:t xml:space="preserve"> </w:t>
            </w:r>
            <w:r w:rsidR="00F876E4">
              <w:rPr>
                <w:color w:val="2F5496" w:themeColor="accent1" w:themeShade="BF"/>
                <w:spacing w:val="-47"/>
                <w:sz w:val="24"/>
                <w:szCs w:val="24"/>
              </w:rPr>
              <w:t xml:space="preserve"> </w:t>
            </w:r>
            <w:r w:rsidR="00A063F1">
              <w:rPr>
                <w:color w:val="2F5496" w:themeColor="accent1" w:themeShade="BF"/>
                <w:spacing w:val="-47"/>
                <w:sz w:val="24"/>
                <w:szCs w:val="24"/>
              </w:rPr>
              <w:t xml:space="preserve">  </w:t>
            </w:r>
            <w:r w:rsidRPr="0027388F">
              <w:rPr>
                <w:color w:val="2F5496" w:themeColor="accent1" w:themeShade="BF"/>
                <w:sz w:val="24"/>
                <w:szCs w:val="24"/>
              </w:rPr>
              <w:t>trials</w:t>
            </w:r>
            <w:r w:rsidRPr="0027388F">
              <w:rPr>
                <w:color w:val="2F5496" w:themeColor="accent1" w:themeShade="BF"/>
                <w:spacing w:val="-5"/>
                <w:sz w:val="24"/>
                <w:szCs w:val="24"/>
              </w:rPr>
              <w:t xml:space="preserve"> </w:t>
            </w:r>
            <w:r w:rsidRPr="0027388F">
              <w:rPr>
                <w:color w:val="2F5496" w:themeColor="accent1" w:themeShade="BF"/>
                <w:sz w:val="24"/>
                <w:szCs w:val="24"/>
              </w:rPr>
              <w:t>in</w:t>
            </w:r>
            <w:r w:rsidRPr="0027388F">
              <w:rPr>
                <w:color w:val="2F5496" w:themeColor="accent1" w:themeShade="BF"/>
                <w:spacing w:val="-1"/>
                <w:sz w:val="24"/>
                <w:szCs w:val="24"/>
              </w:rPr>
              <w:t xml:space="preserve"> </w:t>
            </w:r>
            <w:r w:rsidRPr="0027388F">
              <w:rPr>
                <w:color w:val="2F5496" w:themeColor="accent1" w:themeShade="BF"/>
                <w:sz w:val="24"/>
                <w:szCs w:val="24"/>
              </w:rPr>
              <w:t>Ireland</w:t>
            </w:r>
          </w:p>
        </w:tc>
      </w:tr>
    </w:tbl>
    <w:p w14:paraId="60CD0060" w14:textId="77777777" w:rsidR="00F122A5" w:rsidRDefault="00F122A5" w:rsidP="00F122A5">
      <w:pPr>
        <w:pStyle w:val="BodyText"/>
        <w:spacing w:before="4"/>
        <w:rPr>
          <w:b/>
          <w:sz w:val="23"/>
        </w:rPr>
      </w:pPr>
    </w:p>
    <w:p w14:paraId="60AC6130" w14:textId="453C4BEB" w:rsidR="00A063F1" w:rsidRPr="00A063F1" w:rsidRDefault="00350896" w:rsidP="00A063F1">
      <w:pPr>
        <w:pStyle w:val="BodyText"/>
        <w:numPr>
          <w:ilvl w:val="0"/>
          <w:numId w:val="1"/>
        </w:numPr>
        <w:ind w:left="0" w:right="115"/>
        <w:jc w:val="both"/>
        <w:rPr>
          <w:rFonts w:eastAsia="Times New Roman"/>
        </w:rPr>
      </w:pPr>
      <w:r>
        <w:rPr>
          <w:rFonts w:eastAsia="Times New Roman"/>
        </w:rPr>
        <w:t>The</w:t>
      </w:r>
      <w:r w:rsidR="00166892" w:rsidRPr="00166892">
        <w:rPr>
          <w:color w:val="000000"/>
        </w:rPr>
        <w:t xml:space="preserve"> tripartite model Clinical Trial Agreement (CTA) is mandatory and effective from 20.05.24 for tripartite engagements involving a Commercial Sponsor, Contract Research Organisation </w:t>
      </w:r>
      <w:r w:rsidR="007372FF">
        <w:rPr>
          <w:color w:val="000000"/>
        </w:rPr>
        <w:t xml:space="preserve">(CRO) </w:t>
      </w:r>
      <w:r w:rsidR="00166892" w:rsidRPr="00166892">
        <w:rPr>
          <w:color w:val="000000"/>
        </w:rPr>
        <w:t xml:space="preserve">and Hospital(s). However, where negotiations commenced before 20.05.24, the CTA that is already the subject of the negotiations may continue to </w:t>
      </w:r>
      <w:proofErr w:type="gramStart"/>
      <w:r w:rsidR="00166892" w:rsidRPr="00166892">
        <w:rPr>
          <w:color w:val="000000"/>
        </w:rPr>
        <w:t>be used</w:t>
      </w:r>
      <w:proofErr w:type="gramEnd"/>
      <w:r w:rsidR="00166892" w:rsidRPr="00166892">
        <w:rPr>
          <w:color w:val="000000"/>
        </w:rPr>
        <w:t xml:space="preserve"> for that specific clinical trial</w:t>
      </w:r>
      <w:r w:rsidR="00A063F1">
        <w:rPr>
          <w:color w:val="000000"/>
        </w:rPr>
        <w:t>.</w:t>
      </w:r>
    </w:p>
    <w:p w14:paraId="75A035D5" w14:textId="77777777" w:rsidR="00A063F1" w:rsidRPr="00A063F1" w:rsidRDefault="00A063F1" w:rsidP="00A063F1">
      <w:pPr>
        <w:pStyle w:val="BodyText"/>
        <w:ind w:right="115"/>
        <w:jc w:val="both"/>
        <w:rPr>
          <w:rFonts w:eastAsia="Times New Roman"/>
        </w:rPr>
      </w:pPr>
    </w:p>
    <w:p w14:paraId="4AA889CA" w14:textId="6E356D76" w:rsidR="00A063F1" w:rsidRPr="00A063F1" w:rsidRDefault="009E68CD" w:rsidP="00A063F1">
      <w:pPr>
        <w:pStyle w:val="BodyText"/>
        <w:numPr>
          <w:ilvl w:val="0"/>
          <w:numId w:val="1"/>
        </w:numPr>
        <w:ind w:left="0" w:right="115"/>
        <w:jc w:val="both"/>
        <w:rPr>
          <w:rFonts w:eastAsia="Times New Roman"/>
        </w:rPr>
      </w:pPr>
      <w:r w:rsidRPr="00A063F1">
        <w:rPr>
          <w:rFonts w:eastAsia="Times New Roman"/>
        </w:rPr>
        <w:t xml:space="preserve">There are now two approved HSE and IPHA agreed Clinical Trial Agreement Templates: 1) a bipartite one where the clinical trial involves a Commercial Sponsor and a Hospital(s) and 2) </w:t>
      </w:r>
      <w:r w:rsidR="003357D8">
        <w:rPr>
          <w:rFonts w:eastAsia="Times New Roman"/>
        </w:rPr>
        <w:t>the aforementioned</w:t>
      </w:r>
      <w:r w:rsidRPr="00A063F1">
        <w:rPr>
          <w:rFonts w:eastAsia="Times New Roman"/>
        </w:rPr>
        <w:t xml:space="preserve"> tripartite  one where the clinical trial involves a Commercial Sponsor, </w:t>
      </w:r>
      <w:r w:rsidR="007372FF">
        <w:rPr>
          <w:rFonts w:eastAsia="Times New Roman"/>
        </w:rPr>
        <w:t>CRO</w:t>
      </w:r>
      <w:r w:rsidRPr="00A063F1">
        <w:rPr>
          <w:rFonts w:eastAsia="Times New Roman"/>
        </w:rPr>
        <w:t xml:space="preserve"> and a Hospital(s).</w:t>
      </w:r>
      <w:bookmarkStart w:id="1" w:name="_MailOriginal"/>
      <w:r w:rsidR="00A063F1" w:rsidRPr="00A063F1">
        <w:rPr>
          <w:rFonts w:eastAsia="Times New Roman"/>
        </w:rPr>
        <w:t xml:space="preserve"> </w:t>
      </w:r>
      <w:r w:rsidR="00A063F1">
        <w:t xml:space="preserve">Both CTAs are available at </w:t>
      </w:r>
      <w:hyperlink r:id="rId12" w:anchor="HSE-approved-Clinical-Trial-Agreement-Templates" w:history="1">
        <w:r w:rsidR="00A063F1">
          <w:rPr>
            <w:rStyle w:val="Hyperlink"/>
          </w:rPr>
          <w:t>https://hseresearch.ie/clinical-trials-2/#HSE-approved-Clinical-Trial-Agreement-Templates</w:t>
        </w:r>
      </w:hyperlink>
    </w:p>
    <w:bookmarkEnd w:id="1"/>
    <w:p w14:paraId="01AA9CDF" w14:textId="77777777" w:rsidR="00F122A5" w:rsidRDefault="00F122A5" w:rsidP="00A063F1">
      <w:pPr>
        <w:pStyle w:val="BodyText"/>
        <w:rPr>
          <w:sz w:val="23"/>
        </w:rPr>
      </w:pPr>
    </w:p>
    <w:p w14:paraId="0950C40C" w14:textId="3B592A9D" w:rsidR="00F122A5" w:rsidRDefault="00F122A5" w:rsidP="00A063F1">
      <w:pPr>
        <w:pStyle w:val="BodyText"/>
        <w:numPr>
          <w:ilvl w:val="0"/>
          <w:numId w:val="1"/>
        </w:numPr>
        <w:ind w:left="0" w:right="119"/>
        <w:jc w:val="both"/>
      </w:pPr>
      <w:r>
        <w:t xml:space="preserve">The </w:t>
      </w:r>
      <w:r w:rsidR="00AA2B45">
        <w:t>CRO-</w:t>
      </w:r>
      <w:r>
        <w:t>mCTA is standardised and therefore changes to the standard text in the document are not</w:t>
      </w:r>
      <w:r>
        <w:rPr>
          <w:spacing w:val="1"/>
        </w:rPr>
        <w:t xml:space="preserve"> </w:t>
      </w:r>
      <w:r>
        <w:t xml:space="preserve">permissible. </w:t>
      </w:r>
    </w:p>
    <w:p w14:paraId="5B7EF548" w14:textId="77777777" w:rsidR="00E1764B" w:rsidRPr="0027388F" w:rsidRDefault="00E1764B" w:rsidP="00A063F1">
      <w:pPr>
        <w:pStyle w:val="BodyText"/>
        <w:ind w:right="115"/>
        <w:jc w:val="both"/>
        <w:rPr>
          <w:color w:val="2F5496" w:themeColor="accent1" w:themeShade="BF"/>
        </w:rPr>
      </w:pPr>
    </w:p>
    <w:p w14:paraId="5B1A54A7" w14:textId="77777777" w:rsidR="00E1764B" w:rsidRDefault="00E1764B" w:rsidP="00A063F1">
      <w:pPr>
        <w:pStyle w:val="BodyText"/>
        <w:ind w:right="115"/>
        <w:jc w:val="center"/>
        <w:rPr>
          <w:b/>
          <w:bCs/>
          <w:color w:val="2F5496" w:themeColor="accent1" w:themeShade="BF"/>
        </w:rPr>
      </w:pPr>
      <w:r w:rsidRPr="0027388F">
        <w:rPr>
          <w:b/>
          <w:bCs/>
          <w:color w:val="2F5496" w:themeColor="accent1" w:themeShade="BF"/>
        </w:rPr>
        <w:t>BACKGROUND</w:t>
      </w:r>
    </w:p>
    <w:p w14:paraId="2A903CB5" w14:textId="77777777" w:rsidR="00CD59B6" w:rsidRPr="0027388F" w:rsidRDefault="00CD59B6" w:rsidP="00A063F1">
      <w:pPr>
        <w:pStyle w:val="BodyText"/>
        <w:ind w:right="115"/>
        <w:jc w:val="center"/>
        <w:rPr>
          <w:b/>
          <w:bCs/>
          <w:color w:val="2F5496" w:themeColor="accent1" w:themeShade="BF"/>
        </w:rPr>
      </w:pPr>
    </w:p>
    <w:p w14:paraId="2F0FE29A" w14:textId="3CD89008" w:rsidR="00E1764B" w:rsidRDefault="00E1764B" w:rsidP="00A063F1">
      <w:pPr>
        <w:pStyle w:val="BodyText"/>
        <w:numPr>
          <w:ilvl w:val="0"/>
          <w:numId w:val="2"/>
        </w:numPr>
        <w:ind w:left="0" w:right="115"/>
        <w:jc w:val="both"/>
      </w:pPr>
      <w:r>
        <w:t>The originator pharmaceutical industry wishes to improve Ireland’s clinical trial footprint. Including</w:t>
      </w:r>
      <w:r>
        <w:rPr>
          <w:spacing w:val="1"/>
        </w:rPr>
        <w:t xml:space="preserve"> </w:t>
      </w:r>
      <w:r>
        <w:rPr>
          <w:spacing w:val="-1"/>
        </w:rPr>
        <w:t>patients</w:t>
      </w:r>
      <w:r>
        <w:rPr>
          <w:spacing w:val="-12"/>
        </w:rPr>
        <w:t xml:space="preserve"> </w:t>
      </w:r>
      <w:r>
        <w:rPr>
          <w:spacing w:val="-1"/>
        </w:rPr>
        <w:t>in</w:t>
      </w:r>
      <w:r>
        <w:rPr>
          <w:spacing w:val="-13"/>
        </w:rPr>
        <w:t xml:space="preserve"> </w:t>
      </w:r>
      <w:r>
        <w:rPr>
          <w:spacing w:val="-1"/>
        </w:rPr>
        <w:t>clinical</w:t>
      </w:r>
      <w:r>
        <w:rPr>
          <w:spacing w:val="-10"/>
        </w:rPr>
        <w:t xml:space="preserve"> </w:t>
      </w:r>
      <w:r>
        <w:t>trials</w:t>
      </w:r>
      <w:r>
        <w:rPr>
          <w:spacing w:val="-12"/>
        </w:rPr>
        <w:t xml:space="preserve"> </w:t>
      </w:r>
      <w:r>
        <w:t>is</w:t>
      </w:r>
      <w:r>
        <w:rPr>
          <w:spacing w:val="-12"/>
        </w:rPr>
        <w:t xml:space="preserve"> </w:t>
      </w:r>
      <w:r>
        <w:t>critical</w:t>
      </w:r>
      <w:r>
        <w:rPr>
          <w:spacing w:val="-9"/>
        </w:rPr>
        <w:t xml:space="preserve"> </w:t>
      </w:r>
      <w:r>
        <w:t>in</w:t>
      </w:r>
      <w:r>
        <w:rPr>
          <w:spacing w:val="-13"/>
        </w:rPr>
        <w:t xml:space="preserve"> </w:t>
      </w:r>
      <w:r>
        <w:t>developing</w:t>
      </w:r>
      <w:r>
        <w:rPr>
          <w:spacing w:val="-10"/>
        </w:rPr>
        <w:t xml:space="preserve"> </w:t>
      </w:r>
      <w:r>
        <w:t>new</w:t>
      </w:r>
      <w:r>
        <w:rPr>
          <w:spacing w:val="-11"/>
        </w:rPr>
        <w:t xml:space="preserve"> </w:t>
      </w:r>
      <w:r>
        <w:t>innovative</w:t>
      </w:r>
      <w:r>
        <w:rPr>
          <w:spacing w:val="-11"/>
        </w:rPr>
        <w:t xml:space="preserve"> </w:t>
      </w:r>
      <w:r>
        <w:t>treatments</w:t>
      </w:r>
      <w:r>
        <w:rPr>
          <w:spacing w:val="-12"/>
        </w:rPr>
        <w:t xml:space="preserve"> </w:t>
      </w:r>
      <w:r>
        <w:t>and</w:t>
      </w:r>
      <w:r>
        <w:rPr>
          <w:spacing w:val="-12"/>
        </w:rPr>
        <w:t xml:space="preserve"> </w:t>
      </w:r>
      <w:r>
        <w:t>ultimately</w:t>
      </w:r>
      <w:r>
        <w:rPr>
          <w:spacing w:val="-11"/>
        </w:rPr>
        <w:t xml:space="preserve"> </w:t>
      </w:r>
      <w:r>
        <w:t>in</w:t>
      </w:r>
      <w:r>
        <w:rPr>
          <w:spacing w:val="-13"/>
        </w:rPr>
        <w:t xml:space="preserve"> </w:t>
      </w:r>
      <w:r>
        <w:t>improving</w:t>
      </w:r>
      <w:r>
        <w:rPr>
          <w:spacing w:val="1"/>
        </w:rPr>
        <w:t xml:space="preserve"> </w:t>
      </w:r>
      <w:r>
        <w:t xml:space="preserve">the nation’s health. </w:t>
      </w:r>
    </w:p>
    <w:p w14:paraId="0F7500AB" w14:textId="77777777" w:rsidR="00E1764B" w:rsidRDefault="00E1764B" w:rsidP="00A063F1">
      <w:pPr>
        <w:pStyle w:val="BodyText"/>
        <w:ind w:right="115"/>
        <w:jc w:val="both"/>
      </w:pPr>
    </w:p>
    <w:p w14:paraId="16A767FB" w14:textId="77777777" w:rsidR="00E1764B" w:rsidRDefault="00E1764B" w:rsidP="00A063F1">
      <w:pPr>
        <w:pStyle w:val="BodyText"/>
        <w:numPr>
          <w:ilvl w:val="0"/>
          <w:numId w:val="2"/>
        </w:numPr>
        <w:ind w:left="0" w:right="115"/>
        <w:jc w:val="both"/>
      </w:pPr>
      <w:r>
        <w:t>There is clear published evidence that by including patients in clinical trials their</w:t>
      </w:r>
      <w:r>
        <w:rPr>
          <w:spacing w:val="1"/>
        </w:rPr>
        <w:t xml:space="preserve"> </w:t>
      </w:r>
      <w:r>
        <w:t>health</w:t>
      </w:r>
      <w:r>
        <w:rPr>
          <w:spacing w:val="-10"/>
        </w:rPr>
        <w:t xml:space="preserve"> </w:t>
      </w:r>
      <w:r>
        <w:t>will</w:t>
      </w:r>
      <w:r>
        <w:rPr>
          <w:spacing w:val="-6"/>
        </w:rPr>
        <w:t xml:space="preserve"> </w:t>
      </w:r>
      <w:r>
        <w:t>improve</w:t>
      </w:r>
      <w:r>
        <w:rPr>
          <w:spacing w:val="-7"/>
        </w:rPr>
        <w:t xml:space="preserve"> </w:t>
      </w:r>
      <w:r>
        <w:t>substantially.</w:t>
      </w:r>
      <w:r>
        <w:rPr>
          <w:spacing w:val="-6"/>
        </w:rPr>
        <w:t xml:space="preserve"> </w:t>
      </w:r>
      <w:r>
        <w:t>Further,</w:t>
      </w:r>
      <w:r>
        <w:rPr>
          <w:spacing w:val="-11"/>
        </w:rPr>
        <w:t xml:space="preserve"> </w:t>
      </w:r>
      <w:r>
        <w:t>we</w:t>
      </w:r>
      <w:r>
        <w:rPr>
          <w:spacing w:val="-7"/>
        </w:rPr>
        <w:t xml:space="preserve"> </w:t>
      </w:r>
      <w:r>
        <w:t>are</w:t>
      </w:r>
      <w:r>
        <w:rPr>
          <w:spacing w:val="-8"/>
        </w:rPr>
        <w:t xml:space="preserve"> </w:t>
      </w:r>
      <w:r>
        <w:t>of</w:t>
      </w:r>
      <w:r>
        <w:rPr>
          <w:spacing w:val="-8"/>
        </w:rPr>
        <w:t xml:space="preserve"> </w:t>
      </w:r>
      <w:r>
        <w:t>the</w:t>
      </w:r>
      <w:r>
        <w:rPr>
          <w:spacing w:val="-7"/>
        </w:rPr>
        <w:t xml:space="preserve"> </w:t>
      </w:r>
      <w:r>
        <w:t>view</w:t>
      </w:r>
      <w:r>
        <w:rPr>
          <w:spacing w:val="-8"/>
        </w:rPr>
        <w:t xml:space="preserve"> </w:t>
      </w:r>
      <w:r>
        <w:t>that</w:t>
      </w:r>
      <w:r>
        <w:rPr>
          <w:spacing w:val="-10"/>
        </w:rPr>
        <w:t xml:space="preserve"> </w:t>
      </w:r>
      <w:r>
        <w:t>Ireland</w:t>
      </w:r>
      <w:r>
        <w:rPr>
          <w:spacing w:val="-9"/>
        </w:rPr>
        <w:t xml:space="preserve"> </w:t>
      </w:r>
      <w:r>
        <w:t>can</w:t>
      </w:r>
      <w:r>
        <w:rPr>
          <w:spacing w:val="-9"/>
        </w:rPr>
        <w:t xml:space="preserve"> </w:t>
      </w:r>
      <w:r>
        <w:t>play</w:t>
      </w:r>
      <w:r>
        <w:rPr>
          <w:spacing w:val="-8"/>
        </w:rPr>
        <w:t xml:space="preserve"> </w:t>
      </w:r>
      <w:r>
        <w:t>a</w:t>
      </w:r>
      <w:r>
        <w:rPr>
          <w:spacing w:val="-9"/>
        </w:rPr>
        <w:t xml:space="preserve"> </w:t>
      </w:r>
      <w:r>
        <w:t>leading</w:t>
      </w:r>
      <w:r>
        <w:rPr>
          <w:spacing w:val="-7"/>
        </w:rPr>
        <w:t xml:space="preserve"> </w:t>
      </w:r>
      <w:r>
        <w:t>role</w:t>
      </w:r>
      <w:r>
        <w:rPr>
          <w:spacing w:val="-7"/>
        </w:rPr>
        <w:t xml:space="preserve"> </w:t>
      </w:r>
      <w:r>
        <w:t>in</w:t>
      </w:r>
      <w:r>
        <w:rPr>
          <w:spacing w:val="-9"/>
        </w:rPr>
        <w:t xml:space="preserve"> </w:t>
      </w:r>
      <w:r>
        <w:t xml:space="preserve">the </w:t>
      </w:r>
      <w:r>
        <w:rPr>
          <w:spacing w:val="-48"/>
        </w:rPr>
        <w:t xml:space="preserve"> </w:t>
      </w:r>
      <w:r>
        <w:t>provision of clinical trials in Europe. There is no doubt that Ireland’s decision to join the European</w:t>
      </w:r>
      <w:r>
        <w:rPr>
          <w:spacing w:val="1"/>
        </w:rPr>
        <w:t xml:space="preserve"> </w:t>
      </w:r>
      <w:r>
        <w:t>Clinical Research Infrastructure Network has the potential to widen our access to clinical research</w:t>
      </w:r>
      <w:r>
        <w:rPr>
          <w:spacing w:val="1"/>
        </w:rPr>
        <w:t xml:space="preserve"> </w:t>
      </w:r>
      <w:r>
        <w:t>networks</w:t>
      </w:r>
      <w:r>
        <w:rPr>
          <w:spacing w:val="-2"/>
        </w:rPr>
        <w:t xml:space="preserve"> </w:t>
      </w:r>
      <w:r>
        <w:t>in</w:t>
      </w:r>
      <w:r>
        <w:rPr>
          <w:spacing w:val="-3"/>
        </w:rPr>
        <w:t xml:space="preserve"> </w:t>
      </w:r>
      <w:r>
        <w:t>Europe.</w:t>
      </w:r>
    </w:p>
    <w:p w14:paraId="2F4CC314" w14:textId="77777777" w:rsidR="00E1764B" w:rsidRDefault="00E1764B" w:rsidP="00A063F1">
      <w:pPr>
        <w:pStyle w:val="BodyText"/>
        <w:ind w:right="115"/>
        <w:jc w:val="both"/>
      </w:pPr>
    </w:p>
    <w:p w14:paraId="2EE4A744" w14:textId="7F6A44DC" w:rsidR="00E1764B" w:rsidRPr="00D81CAE" w:rsidRDefault="00E1764B" w:rsidP="00AA2B45">
      <w:pPr>
        <w:pStyle w:val="BodyText"/>
        <w:numPr>
          <w:ilvl w:val="0"/>
          <w:numId w:val="2"/>
        </w:numPr>
        <w:spacing w:before="1"/>
        <w:ind w:left="0" w:right="112"/>
        <w:jc w:val="both"/>
        <w:rPr>
          <w:color w:val="000000" w:themeColor="text1"/>
          <w:spacing w:val="-10"/>
        </w:rPr>
      </w:pPr>
      <w:r>
        <w:t>There are practical steps we can take here at home to speed up and improve our performance in</w:t>
      </w:r>
      <w:r>
        <w:rPr>
          <w:spacing w:val="1"/>
        </w:rPr>
        <w:t xml:space="preserve"> </w:t>
      </w:r>
      <w:r>
        <w:t>relation to clinical trials. These include the use of a standardised site contract for clinical trials (the</w:t>
      </w:r>
      <w:r>
        <w:rPr>
          <w:spacing w:val="1"/>
        </w:rPr>
        <w:t xml:space="preserve"> </w:t>
      </w:r>
      <w:r>
        <w:rPr>
          <w:spacing w:val="-1"/>
        </w:rPr>
        <w:t>C</w:t>
      </w:r>
      <w:r w:rsidR="00836A0F">
        <w:rPr>
          <w:spacing w:val="-1"/>
        </w:rPr>
        <w:t>TA</w:t>
      </w:r>
      <w:r>
        <w:t>)</w:t>
      </w:r>
      <w:r w:rsidRPr="00AA2B45">
        <w:rPr>
          <w:spacing w:val="-12"/>
        </w:rPr>
        <w:t xml:space="preserve"> </w:t>
      </w:r>
      <w:r>
        <w:t>that</w:t>
      </w:r>
      <w:r w:rsidRPr="00AA2B45">
        <w:rPr>
          <w:spacing w:val="-14"/>
        </w:rPr>
        <w:t xml:space="preserve"> </w:t>
      </w:r>
      <w:r>
        <w:t>is</w:t>
      </w:r>
      <w:r w:rsidRPr="00AA2B45">
        <w:rPr>
          <w:spacing w:val="-6"/>
        </w:rPr>
        <w:t xml:space="preserve"> </w:t>
      </w:r>
      <w:r>
        <w:t>convention</w:t>
      </w:r>
      <w:r w:rsidRPr="00AA2B45">
        <w:rPr>
          <w:spacing w:val="-8"/>
        </w:rPr>
        <w:t xml:space="preserve"> </w:t>
      </w:r>
      <w:r w:rsidRPr="00D81CAE">
        <w:rPr>
          <w:color w:val="000000" w:themeColor="text1"/>
        </w:rPr>
        <w:t>in</w:t>
      </w:r>
      <w:r w:rsidRPr="00D81CAE">
        <w:rPr>
          <w:color w:val="000000" w:themeColor="text1"/>
          <w:spacing w:val="-13"/>
        </w:rPr>
        <w:t xml:space="preserve"> </w:t>
      </w:r>
      <w:proofErr w:type="gramStart"/>
      <w:r w:rsidRPr="00D81CAE">
        <w:rPr>
          <w:color w:val="000000" w:themeColor="text1"/>
        </w:rPr>
        <w:t>a</w:t>
      </w:r>
      <w:r w:rsidRPr="00D81CAE">
        <w:rPr>
          <w:color w:val="000000" w:themeColor="text1"/>
          <w:spacing w:val="-3"/>
        </w:rPr>
        <w:t xml:space="preserve"> </w:t>
      </w:r>
      <w:r w:rsidRPr="00D81CAE">
        <w:rPr>
          <w:color w:val="000000" w:themeColor="text1"/>
        </w:rPr>
        <w:t>number</w:t>
      </w:r>
      <w:r w:rsidRPr="00D81CAE">
        <w:rPr>
          <w:color w:val="000000" w:themeColor="text1"/>
          <w:spacing w:val="-11"/>
        </w:rPr>
        <w:t xml:space="preserve"> </w:t>
      </w:r>
      <w:r w:rsidRPr="00D81CAE">
        <w:rPr>
          <w:color w:val="000000" w:themeColor="text1"/>
        </w:rPr>
        <w:t>of</w:t>
      </w:r>
      <w:proofErr w:type="gramEnd"/>
      <w:r w:rsidRPr="00D81CAE">
        <w:rPr>
          <w:color w:val="000000" w:themeColor="text1"/>
          <w:spacing w:val="-11"/>
        </w:rPr>
        <w:t xml:space="preserve"> </w:t>
      </w:r>
      <w:r w:rsidRPr="00D81CAE">
        <w:rPr>
          <w:color w:val="000000" w:themeColor="text1"/>
        </w:rPr>
        <w:t>other</w:t>
      </w:r>
      <w:r w:rsidRPr="00D81CAE">
        <w:rPr>
          <w:color w:val="000000" w:themeColor="text1"/>
          <w:spacing w:val="-11"/>
        </w:rPr>
        <w:t xml:space="preserve"> </w:t>
      </w:r>
      <w:r w:rsidRPr="00D81CAE">
        <w:rPr>
          <w:color w:val="000000" w:themeColor="text1"/>
        </w:rPr>
        <w:t>EU</w:t>
      </w:r>
      <w:r w:rsidRPr="00D81CAE">
        <w:rPr>
          <w:color w:val="000000" w:themeColor="text1"/>
          <w:spacing w:val="-10"/>
        </w:rPr>
        <w:t xml:space="preserve"> </w:t>
      </w:r>
      <w:r w:rsidRPr="00D81CAE">
        <w:rPr>
          <w:color w:val="000000" w:themeColor="text1"/>
        </w:rPr>
        <w:t>countries.</w:t>
      </w:r>
      <w:r w:rsidRPr="00D81CAE">
        <w:rPr>
          <w:color w:val="000000" w:themeColor="text1"/>
          <w:spacing w:val="-10"/>
        </w:rPr>
        <w:t xml:space="preserve"> </w:t>
      </w:r>
    </w:p>
    <w:p w14:paraId="14F19CBE" w14:textId="77777777" w:rsidR="00E1764B" w:rsidRPr="00D81CAE" w:rsidRDefault="00E1764B" w:rsidP="00A063F1">
      <w:pPr>
        <w:pStyle w:val="BodyText"/>
        <w:spacing w:before="1"/>
        <w:ind w:right="112"/>
        <w:jc w:val="both"/>
        <w:rPr>
          <w:color w:val="000000" w:themeColor="text1"/>
          <w:spacing w:val="-10"/>
        </w:rPr>
      </w:pPr>
    </w:p>
    <w:p w14:paraId="7A415F88" w14:textId="6B1B3A66" w:rsidR="00D81CAE" w:rsidRPr="00D81CAE" w:rsidRDefault="00E1764B" w:rsidP="00D81CAE">
      <w:pPr>
        <w:pStyle w:val="BodyText"/>
        <w:numPr>
          <w:ilvl w:val="0"/>
          <w:numId w:val="2"/>
        </w:numPr>
        <w:spacing w:before="1"/>
        <w:ind w:left="0" w:right="112"/>
        <w:jc w:val="both"/>
        <w:rPr>
          <w:color w:val="000000" w:themeColor="text1"/>
        </w:rPr>
      </w:pPr>
      <w:r w:rsidRPr="00D81CAE">
        <w:rPr>
          <w:color w:val="000000" w:themeColor="text1"/>
        </w:rPr>
        <w:t>Until</w:t>
      </w:r>
      <w:r w:rsidRPr="00D81CAE">
        <w:rPr>
          <w:color w:val="000000" w:themeColor="text1"/>
          <w:spacing w:val="-10"/>
        </w:rPr>
        <w:t xml:space="preserve"> </w:t>
      </w:r>
      <w:r w:rsidRPr="00D81CAE">
        <w:rPr>
          <w:color w:val="000000" w:themeColor="text1"/>
        </w:rPr>
        <w:t>now,</w:t>
      </w:r>
      <w:r w:rsidRPr="00D81CAE">
        <w:rPr>
          <w:color w:val="000000" w:themeColor="text1"/>
          <w:spacing w:val="-8"/>
        </w:rPr>
        <w:t xml:space="preserve"> </w:t>
      </w:r>
      <w:r w:rsidRPr="00D81CAE">
        <w:rPr>
          <w:color w:val="000000" w:themeColor="text1"/>
        </w:rPr>
        <w:t>there</w:t>
      </w:r>
      <w:r w:rsidRPr="00D81CAE">
        <w:rPr>
          <w:color w:val="000000" w:themeColor="text1"/>
          <w:spacing w:val="1"/>
        </w:rPr>
        <w:t xml:space="preserve"> </w:t>
      </w:r>
      <w:r w:rsidRPr="00D81CAE">
        <w:rPr>
          <w:color w:val="000000" w:themeColor="text1"/>
        </w:rPr>
        <w:t>have been various slightly different CTAs that our members have agreed with the hospitals and other</w:t>
      </w:r>
      <w:r w:rsidR="005F4D59">
        <w:rPr>
          <w:color w:val="000000" w:themeColor="text1"/>
        </w:rPr>
        <w:t xml:space="preserve"> </w:t>
      </w:r>
      <w:r w:rsidRPr="00D81CAE">
        <w:rPr>
          <w:color w:val="000000" w:themeColor="text1"/>
          <w:spacing w:val="-47"/>
        </w:rPr>
        <w:t xml:space="preserve"> </w:t>
      </w:r>
      <w:r w:rsidRPr="00D81CAE">
        <w:rPr>
          <w:color w:val="000000" w:themeColor="text1"/>
        </w:rPr>
        <w:t>institutions. However, there were</w:t>
      </w:r>
      <w:r w:rsidR="00FA38E4">
        <w:rPr>
          <w:color w:val="000000" w:themeColor="text1"/>
        </w:rPr>
        <w:t xml:space="preserve"> </w:t>
      </w:r>
      <w:proofErr w:type="gramStart"/>
      <w:r w:rsidR="00FA38E4">
        <w:rPr>
          <w:color w:val="000000" w:themeColor="text1"/>
        </w:rPr>
        <w:t>numerous</w:t>
      </w:r>
      <w:proofErr w:type="gramEnd"/>
      <w:r w:rsidRPr="00D81CAE">
        <w:rPr>
          <w:color w:val="000000" w:themeColor="text1"/>
        </w:rPr>
        <w:t xml:space="preserve"> versions of those CTAs, each of which underwent review,</w:t>
      </w:r>
      <w:r w:rsidRPr="00D81CAE">
        <w:rPr>
          <w:color w:val="000000" w:themeColor="text1"/>
          <w:spacing w:val="1"/>
        </w:rPr>
        <w:t xml:space="preserve"> </w:t>
      </w:r>
      <w:r w:rsidR="00FA38E4">
        <w:rPr>
          <w:color w:val="000000" w:themeColor="text1"/>
        </w:rPr>
        <w:t>incurring significant costs</w:t>
      </w:r>
      <w:r w:rsidRPr="00D81CAE">
        <w:rPr>
          <w:color w:val="000000" w:themeColor="text1"/>
        </w:rPr>
        <w:t xml:space="preserve"> and </w:t>
      </w:r>
      <w:r w:rsidR="00CD657E" w:rsidRPr="00D81CAE">
        <w:rPr>
          <w:color w:val="000000" w:themeColor="text1"/>
        </w:rPr>
        <w:t xml:space="preserve">seriously </w:t>
      </w:r>
      <w:r w:rsidRPr="00D81CAE">
        <w:rPr>
          <w:color w:val="000000" w:themeColor="text1"/>
        </w:rPr>
        <w:t>delaying the trial start. Provision of a single standard CTA for Ireland will reduce</w:t>
      </w:r>
      <w:r w:rsidRPr="00D81CAE">
        <w:rPr>
          <w:color w:val="000000" w:themeColor="text1"/>
          <w:spacing w:val="1"/>
        </w:rPr>
        <w:t xml:space="preserve"> </w:t>
      </w:r>
      <w:r w:rsidRPr="00D81CAE">
        <w:rPr>
          <w:color w:val="000000" w:themeColor="text1"/>
        </w:rPr>
        <w:t>delays</w:t>
      </w:r>
      <w:r w:rsidRPr="00D81CAE">
        <w:rPr>
          <w:color w:val="000000" w:themeColor="text1"/>
          <w:spacing w:val="-10"/>
        </w:rPr>
        <w:t xml:space="preserve"> </w:t>
      </w:r>
      <w:r w:rsidRPr="00D81CAE">
        <w:rPr>
          <w:color w:val="000000" w:themeColor="text1"/>
        </w:rPr>
        <w:t>in</w:t>
      </w:r>
      <w:r w:rsidRPr="00D81CAE">
        <w:rPr>
          <w:color w:val="000000" w:themeColor="text1"/>
          <w:spacing w:val="-5"/>
        </w:rPr>
        <w:t xml:space="preserve"> </w:t>
      </w:r>
      <w:r w:rsidRPr="00D81CAE">
        <w:rPr>
          <w:color w:val="000000" w:themeColor="text1"/>
        </w:rPr>
        <w:t>hospitals,</w:t>
      </w:r>
      <w:r w:rsidRPr="00D81CAE">
        <w:rPr>
          <w:color w:val="000000" w:themeColor="text1"/>
          <w:spacing w:val="-3"/>
        </w:rPr>
        <w:t xml:space="preserve"> </w:t>
      </w:r>
      <w:r w:rsidRPr="00D81CAE">
        <w:rPr>
          <w:color w:val="000000" w:themeColor="text1"/>
        </w:rPr>
        <w:t>reduce</w:t>
      </w:r>
      <w:r w:rsidRPr="00D81CAE">
        <w:rPr>
          <w:color w:val="000000" w:themeColor="text1"/>
          <w:spacing w:val="-5"/>
        </w:rPr>
        <w:t xml:space="preserve"> </w:t>
      </w:r>
      <w:r w:rsidRPr="00D81CAE">
        <w:rPr>
          <w:color w:val="000000" w:themeColor="text1"/>
        </w:rPr>
        <w:t>costs</w:t>
      </w:r>
      <w:r w:rsidRPr="00D81CAE">
        <w:rPr>
          <w:color w:val="000000" w:themeColor="text1"/>
          <w:spacing w:val="-4"/>
        </w:rPr>
        <w:t xml:space="preserve"> </w:t>
      </w:r>
      <w:r w:rsidRPr="00D81CAE">
        <w:rPr>
          <w:color w:val="000000" w:themeColor="text1"/>
        </w:rPr>
        <w:t>for</w:t>
      </w:r>
      <w:r w:rsidRPr="00D81CAE">
        <w:rPr>
          <w:color w:val="000000" w:themeColor="text1"/>
          <w:spacing w:val="-5"/>
        </w:rPr>
        <w:t xml:space="preserve"> </w:t>
      </w:r>
      <w:r w:rsidRPr="00D81CAE">
        <w:rPr>
          <w:color w:val="000000" w:themeColor="text1"/>
        </w:rPr>
        <w:t>hospitals</w:t>
      </w:r>
      <w:r w:rsidRPr="00D81CAE">
        <w:rPr>
          <w:color w:val="000000" w:themeColor="text1"/>
          <w:spacing w:val="-5"/>
        </w:rPr>
        <w:t xml:space="preserve"> </w:t>
      </w:r>
      <w:r w:rsidRPr="00D81CAE">
        <w:rPr>
          <w:color w:val="000000" w:themeColor="text1"/>
        </w:rPr>
        <w:t>and</w:t>
      </w:r>
      <w:r w:rsidRPr="00D81CAE">
        <w:rPr>
          <w:color w:val="000000" w:themeColor="text1"/>
          <w:spacing w:val="-5"/>
        </w:rPr>
        <w:t xml:space="preserve"> </w:t>
      </w:r>
      <w:r w:rsidRPr="00D81CAE">
        <w:rPr>
          <w:color w:val="000000" w:themeColor="text1"/>
        </w:rPr>
        <w:t>companies,</w:t>
      </w:r>
      <w:r w:rsidRPr="00D81CAE">
        <w:rPr>
          <w:color w:val="000000" w:themeColor="text1"/>
          <w:spacing w:val="-7"/>
        </w:rPr>
        <w:t xml:space="preserve"> </w:t>
      </w:r>
      <w:r w:rsidRPr="00D81CAE">
        <w:rPr>
          <w:color w:val="000000" w:themeColor="text1"/>
        </w:rPr>
        <w:t>increase</w:t>
      </w:r>
      <w:r w:rsidRPr="00D81CAE">
        <w:rPr>
          <w:color w:val="000000" w:themeColor="text1"/>
          <w:spacing w:val="-3"/>
        </w:rPr>
        <w:t xml:space="preserve"> </w:t>
      </w:r>
      <w:r w:rsidRPr="00D81CAE">
        <w:rPr>
          <w:color w:val="000000" w:themeColor="text1"/>
        </w:rPr>
        <w:t>efficiencies,</w:t>
      </w:r>
      <w:r w:rsidRPr="00D81CAE">
        <w:rPr>
          <w:color w:val="000000" w:themeColor="text1"/>
          <w:spacing w:val="-3"/>
        </w:rPr>
        <w:t xml:space="preserve"> </w:t>
      </w:r>
      <w:r w:rsidRPr="00D81CAE">
        <w:rPr>
          <w:color w:val="000000" w:themeColor="text1"/>
        </w:rPr>
        <w:t>enable</w:t>
      </w:r>
      <w:r w:rsidRPr="00D81CAE">
        <w:rPr>
          <w:color w:val="000000" w:themeColor="text1"/>
          <w:spacing w:val="-5"/>
        </w:rPr>
        <w:t xml:space="preserve"> </w:t>
      </w:r>
      <w:r w:rsidRPr="00D81CAE">
        <w:rPr>
          <w:color w:val="000000" w:themeColor="text1"/>
        </w:rPr>
        <w:t>more</w:t>
      </w:r>
      <w:r w:rsidRPr="00D81CAE">
        <w:rPr>
          <w:color w:val="000000" w:themeColor="text1"/>
          <w:spacing w:val="-4"/>
        </w:rPr>
        <w:t xml:space="preserve"> </w:t>
      </w:r>
      <w:r w:rsidRPr="00D81CAE">
        <w:rPr>
          <w:color w:val="000000" w:themeColor="text1"/>
        </w:rPr>
        <w:t>trials</w:t>
      </w:r>
      <w:r w:rsidR="00CD657E" w:rsidRPr="00D81CAE">
        <w:rPr>
          <w:color w:val="000000" w:themeColor="text1"/>
        </w:rPr>
        <w:t xml:space="preserve"> </w:t>
      </w:r>
      <w:r w:rsidRPr="00D81CAE">
        <w:rPr>
          <w:color w:val="000000" w:themeColor="text1"/>
          <w:spacing w:val="-48"/>
        </w:rPr>
        <w:t xml:space="preserve"> </w:t>
      </w:r>
      <w:r w:rsidRPr="00D81CAE">
        <w:rPr>
          <w:color w:val="000000" w:themeColor="text1"/>
        </w:rPr>
        <w:t>to</w:t>
      </w:r>
      <w:r w:rsidRPr="00D81CAE">
        <w:rPr>
          <w:color w:val="000000" w:themeColor="text1"/>
          <w:spacing w:val="-4"/>
        </w:rPr>
        <w:t xml:space="preserve"> </w:t>
      </w:r>
      <w:r w:rsidRPr="00D81CAE">
        <w:rPr>
          <w:color w:val="000000" w:themeColor="text1"/>
        </w:rPr>
        <w:t>set</w:t>
      </w:r>
      <w:r w:rsidRPr="00D81CAE">
        <w:rPr>
          <w:color w:val="000000" w:themeColor="text1"/>
          <w:spacing w:val="-5"/>
        </w:rPr>
        <w:t xml:space="preserve"> </w:t>
      </w:r>
      <w:r w:rsidRPr="00D81CAE">
        <w:rPr>
          <w:color w:val="000000" w:themeColor="text1"/>
        </w:rPr>
        <w:t>up</w:t>
      </w:r>
      <w:r w:rsidRPr="00D81CAE">
        <w:rPr>
          <w:color w:val="000000" w:themeColor="text1"/>
          <w:spacing w:val="1"/>
        </w:rPr>
        <w:t xml:space="preserve"> </w:t>
      </w:r>
      <w:r w:rsidRPr="00D81CAE">
        <w:rPr>
          <w:color w:val="000000" w:themeColor="text1"/>
        </w:rPr>
        <w:t>on</w:t>
      </w:r>
      <w:r w:rsidRPr="00D81CAE">
        <w:rPr>
          <w:color w:val="000000" w:themeColor="text1"/>
          <w:spacing w:val="1"/>
        </w:rPr>
        <w:t xml:space="preserve"> </w:t>
      </w:r>
      <w:r w:rsidRPr="00D81CAE">
        <w:rPr>
          <w:color w:val="000000" w:themeColor="text1"/>
        </w:rPr>
        <w:t>time</w:t>
      </w:r>
      <w:r w:rsidRPr="00D81CAE">
        <w:rPr>
          <w:color w:val="000000" w:themeColor="text1"/>
          <w:spacing w:val="-2"/>
        </w:rPr>
        <w:t xml:space="preserve"> </w:t>
      </w:r>
      <w:r w:rsidRPr="00D81CAE">
        <w:rPr>
          <w:color w:val="000000" w:themeColor="text1"/>
        </w:rPr>
        <w:t>in</w:t>
      </w:r>
      <w:r w:rsidRPr="00D81CAE">
        <w:rPr>
          <w:color w:val="000000" w:themeColor="text1"/>
          <w:spacing w:val="-4"/>
        </w:rPr>
        <w:t xml:space="preserve"> </w:t>
      </w:r>
      <w:r w:rsidRPr="00D81CAE">
        <w:rPr>
          <w:color w:val="000000" w:themeColor="text1"/>
        </w:rPr>
        <w:t>Ireland</w:t>
      </w:r>
      <w:r w:rsidRPr="00D81CAE">
        <w:rPr>
          <w:color w:val="000000" w:themeColor="text1"/>
          <w:spacing w:val="-3"/>
        </w:rPr>
        <w:t xml:space="preserve"> </w:t>
      </w:r>
      <w:r w:rsidRPr="00D81CAE">
        <w:rPr>
          <w:color w:val="000000" w:themeColor="text1"/>
        </w:rPr>
        <w:t>and</w:t>
      </w:r>
      <w:r w:rsidRPr="00D81CAE">
        <w:rPr>
          <w:color w:val="000000" w:themeColor="text1"/>
          <w:spacing w:val="-4"/>
        </w:rPr>
        <w:t xml:space="preserve"> </w:t>
      </w:r>
      <w:r w:rsidRPr="00D81CAE">
        <w:rPr>
          <w:color w:val="000000" w:themeColor="text1"/>
        </w:rPr>
        <w:t>thus,</w:t>
      </w:r>
      <w:r w:rsidRPr="00D81CAE">
        <w:rPr>
          <w:color w:val="000000" w:themeColor="text1"/>
          <w:spacing w:val="-1"/>
        </w:rPr>
        <w:t xml:space="preserve"> </w:t>
      </w:r>
      <w:r w:rsidRPr="00D81CAE">
        <w:rPr>
          <w:color w:val="000000" w:themeColor="text1"/>
        </w:rPr>
        <w:t>importantly</w:t>
      </w:r>
      <w:r w:rsidRPr="00D81CAE">
        <w:rPr>
          <w:color w:val="000000" w:themeColor="text1"/>
          <w:spacing w:val="-2"/>
        </w:rPr>
        <w:t xml:space="preserve"> </w:t>
      </w:r>
      <w:r w:rsidRPr="00D81CAE">
        <w:rPr>
          <w:color w:val="000000" w:themeColor="text1"/>
        </w:rPr>
        <w:t>and</w:t>
      </w:r>
      <w:r w:rsidRPr="00D81CAE">
        <w:rPr>
          <w:color w:val="000000" w:themeColor="text1"/>
          <w:spacing w:val="-4"/>
        </w:rPr>
        <w:t xml:space="preserve"> </w:t>
      </w:r>
      <w:r w:rsidRPr="00D81CAE">
        <w:rPr>
          <w:color w:val="000000" w:themeColor="text1"/>
        </w:rPr>
        <w:t>ultimately, improve</w:t>
      </w:r>
      <w:r w:rsidRPr="00D81CAE">
        <w:rPr>
          <w:color w:val="000000" w:themeColor="text1"/>
          <w:spacing w:val="-3"/>
        </w:rPr>
        <w:t xml:space="preserve"> </w:t>
      </w:r>
      <w:r w:rsidRPr="00D81CAE">
        <w:rPr>
          <w:color w:val="000000" w:themeColor="text1"/>
        </w:rPr>
        <w:t>patient</w:t>
      </w:r>
      <w:r w:rsidRPr="00D81CAE">
        <w:rPr>
          <w:color w:val="000000" w:themeColor="text1"/>
          <w:spacing w:val="-4"/>
        </w:rPr>
        <w:t xml:space="preserve"> </w:t>
      </w:r>
      <w:r w:rsidRPr="00D81CAE">
        <w:rPr>
          <w:color w:val="000000" w:themeColor="text1"/>
        </w:rPr>
        <w:t>outcomes.</w:t>
      </w:r>
    </w:p>
    <w:p w14:paraId="38FAD938" w14:textId="77777777" w:rsidR="00D81CAE" w:rsidRPr="00D81CAE" w:rsidRDefault="00D81CAE" w:rsidP="00D81CAE">
      <w:pPr>
        <w:pStyle w:val="ListParagraph"/>
        <w:rPr>
          <w:color w:val="000000" w:themeColor="text1"/>
        </w:rPr>
      </w:pPr>
    </w:p>
    <w:p w14:paraId="16A040A1" w14:textId="3962441F" w:rsidR="00331AEA" w:rsidRPr="00D81CAE" w:rsidRDefault="00D81CAE" w:rsidP="00D81CAE">
      <w:pPr>
        <w:pStyle w:val="BodyText"/>
        <w:numPr>
          <w:ilvl w:val="0"/>
          <w:numId w:val="2"/>
        </w:numPr>
        <w:spacing w:before="1"/>
        <w:ind w:left="0" w:right="112"/>
        <w:jc w:val="both"/>
        <w:rPr>
          <w:color w:val="000000" w:themeColor="text1"/>
        </w:rPr>
      </w:pPr>
      <w:r w:rsidRPr="00D81CAE">
        <w:rPr>
          <w:color w:val="000000" w:themeColor="text1"/>
        </w:rPr>
        <w:t>To that end HSE</w:t>
      </w:r>
      <w:r>
        <w:rPr>
          <w:color w:val="000000" w:themeColor="text1"/>
        </w:rPr>
        <w:t xml:space="preserve"> and </w:t>
      </w:r>
      <w:r w:rsidRPr="00D81CAE">
        <w:rPr>
          <w:color w:val="000000" w:themeColor="text1"/>
        </w:rPr>
        <w:t>IPHA ha</w:t>
      </w:r>
      <w:r>
        <w:rPr>
          <w:color w:val="000000" w:themeColor="text1"/>
        </w:rPr>
        <w:t>ve</w:t>
      </w:r>
      <w:r w:rsidRPr="00D81CAE">
        <w:rPr>
          <w:color w:val="000000" w:themeColor="text1"/>
        </w:rPr>
        <w:t xml:space="preserve"> agreed a standard (model) CRO CTA for use between the Site, the CRO and the Sponsor. The HSE</w:t>
      </w:r>
      <w:r w:rsidR="00E61E46">
        <w:rPr>
          <w:color w:val="000000" w:themeColor="text1"/>
        </w:rPr>
        <w:t xml:space="preserve"> and </w:t>
      </w:r>
      <w:r w:rsidRPr="00D81CAE">
        <w:rPr>
          <w:color w:val="000000" w:themeColor="text1"/>
        </w:rPr>
        <w:t xml:space="preserve">IPHA CRO model CTA (CRO-mCTA) has </w:t>
      </w:r>
      <w:proofErr w:type="gramStart"/>
      <w:r w:rsidRPr="00D81CAE">
        <w:rPr>
          <w:color w:val="000000" w:themeColor="text1"/>
        </w:rPr>
        <w:t>been reviewed</w:t>
      </w:r>
      <w:proofErr w:type="gramEnd"/>
      <w:r w:rsidRPr="00D81CAE">
        <w:rPr>
          <w:color w:val="000000" w:themeColor="text1"/>
        </w:rPr>
        <w:t xml:space="preserve"> extensively  by a subgroup of CROs, IPHA member companies, the HSE and other stakeholders dedicated to developing a fair and balanced standardised document. The key to the success of the new CRO-mCTA is that it is standard and it is the standardisation itself that will speed up the process by reducing the number of rounds of discussion and review for this contract. This will in turn reduce the administrative and financial burden for the hospitals, CROs and companies. However, critically it will reduce the time taken to start up clinical trials in Ireland thus improving clinical trial competitiveness and most importantly improving individual patient health.</w:t>
      </w:r>
    </w:p>
    <w:p w14:paraId="57B841E4" w14:textId="5D7362CE" w:rsidR="00965337" w:rsidRPr="00F122A5" w:rsidRDefault="00965337" w:rsidP="00A063F1"/>
    <w:sectPr w:rsidR="00965337" w:rsidRPr="00F122A5" w:rsidSect="00EB563E">
      <w:pgSz w:w="11906" w:h="16838"/>
      <w:pgMar w:top="851"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5EE8" w14:textId="77777777" w:rsidR="0068320F" w:rsidRDefault="0068320F" w:rsidP="00331AEA">
      <w:r>
        <w:separator/>
      </w:r>
    </w:p>
  </w:endnote>
  <w:endnote w:type="continuationSeparator" w:id="0">
    <w:p w14:paraId="5BB24888" w14:textId="77777777" w:rsidR="0068320F" w:rsidRDefault="0068320F" w:rsidP="0033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BDB4" w14:textId="77777777" w:rsidR="0068320F" w:rsidRDefault="0068320F" w:rsidP="00331AEA">
      <w:r>
        <w:separator/>
      </w:r>
    </w:p>
  </w:footnote>
  <w:footnote w:type="continuationSeparator" w:id="0">
    <w:p w14:paraId="1ED1493A" w14:textId="77777777" w:rsidR="0068320F" w:rsidRDefault="0068320F" w:rsidP="0033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4CCA"/>
    <w:multiLevelType w:val="hybridMultilevel"/>
    <w:tmpl w:val="5D340A2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7936DE6"/>
    <w:multiLevelType w:val="hybridMultilevel"/>
    <w:tmpl w:val="BE14B2C8"/>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9C94B6F"/>
    <w:multiLevelType w:val="hybridMultilevel"/>
    <w:tmpl w:val="9086F44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723724253">
    <w:abstractNumId w:val="0"/>
  </w:num>
  <w:num w:numId="2" w16cid:durableId="331377181">
    <w:abstractNumId w:val="1"/>
  </w:num>
  <w:num w:numId="3" w16cid:durableId="9647002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A5"/>
    <w:rsid w:val="000E7952"/>
    <w:rsid w:val="0011451B"/>
    <w:rsid w:val="00166892"/>
    <w:rsid w:val="001E531F"/>
    <w:rsid w:val="0027388F"/>
    <w:rsid w:val="002A7960"/>
    <w:rsid w:val="00331AEA"/>
    <w:rsid w:val="003357D8"/>
    <w:rsid w:val="00350896"/>
    <w:rsid w:val="003A3FF1"/>
    <w:rsid w:val="00414146"/>
    <w:rsid w:val="00466A04"/>
    <w:rsid w:val="0052589E"/>
    <w:rsid w:val="005F4D59"/>
    <w:rsid w:val="005F7CB3"/>
    <w:rsid w:val="0068320F"/>
    <w:rsid w:val="0070479B"/>
    <w:rsid w:val="00725716"/>
    <w:rsid w:val="007372FF"/>
    <w:rsid w:val="007608D9"/>
    <w:rsid w:val="00816C9D"/>
    <w:rsid w:val="00836A0F"/>
    <w:rsid w:val="0086283C"/>
    <w:rsid w:val="008C326B"/>
    <w:rsid w:val="00965337"/>
    <w:rsid w:val="009E68CD"/>
    <w:rsid w:val="00A00E8C"/>
    <w:rsid w:val="00A063F1"/>
    <w:rsid w:val="00AA2B45"/>
    <w:rsid w:val="00B26A6A"/>
    <w:rsid w:val="00C575DA"/>
    <w:rsid w:val="00C822DF"/>
    <w:rsid w:val="00CD59B6"/>
    <w:rsid w:val="00CD657E"/>
    <w:rsid w:val="00D81CAE"/>
    <w:rsid w:val="00DE0F4F"/>
    <w:rsid w:val="00E1764B"/>
    <w:rsid w:val="00E4485A"/>
    <w:rsid w:val="00E61965"/>
    <w:rsid w:val="00E61E46"/>
    <w:rsid w:val="00EA168B"/>
    <w:rsid w:val="00EB563E"/>
    <w:rsid w:val="00F122A5"/>
    <w:rsid w:val="00F876E4"/>
    <w:rsid w:val="00FA3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F829"/>
  <w15:chartTrackingRefBased/>
  <w15:docId w15:val="{BE9892A9-7FF8-45F9-9212-A087B055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A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122A5"/>
  </w:style>
  <w:style w:type="character" w:customStyle="1" w:styleId="BodyTextChar">
    <w:name w:val="Body Text Char"/>
    <w:basedOn w:val="DefaultParagraphFont"/>
    <w:link w:val="BodyText"/>
    <w:uiPriority w:val="1"/>
    <w:rsid w:val="00F122A5"/>
    <w:rPr>
      <w:rFonts w:ascii="Calibri" w:eastAsia="Calibri" w:hAnsi="Calibri" w:cs="Calibri"/>
    </w:rPr>
  </w:style>
  <w:style w:type="paragraph" w:styleId="Title">
    <w:name w:val="Title"/>
    <w:basedOn w:val="Normal"/>
    <w:link w:val="TitleChar"/>
    <w:uiPriority w:val="10"/>
    <w:qFormat/>
    <w:rsid w:val="00F122A5"/>
    <w:pPr>
      <w:spacing w:before="43"/>
      <w:ind w:left="3922" w:hanging="3573"/>
    </w:pPr>
    <w:rPr>
      <w:b/>
      <w:bCs/>
    </w:rPr>
  </w:style>
  <w:style w:type="character" w:customStyle="1" w:styleId="TitleChar">
    <w:name w:val="Title Char"/>
    <w:basedOn w:val="DefaultParagraphFont"/>
    <w:link w:val="Title"/>
    <w:uiPriority w:val="10"/>
    <w:rsid w:val="00F122A5"/>
    <w:rPr>
      <w:rFonts w:ascii="Calibri" w:eastAsia="Calibri" w:hAnsi="Calibri" w:cs="Calibri"/>
      <w:b/>
      <w:bCs/>
    </w:rPr>
  </w:style>
  <w:style w:type="paragraph" w:styleId="FootnoteText">
    <w:name w:val="footnote text"/>
    <w:basedOn w:val="Normal"/>
    <w:link w:val="FootnoteTextChar"/>
    <w:uiPriority w:val="99"/>
    <w:semiHidden/>
    <w:unhideWhenUsed/>
    <w:rsid w:val="00331AEA"/>
    <w:rPr>
      <w:sz w:val="20"/>
      <w:szCs w:val="20"/>
    </w:rPr>
  </w:style>
  <w:style w:type="character" w:customStyle="1" w:styleId="FootnoteTextChar">
    <w:name w:val="Footnote Text Char"/>
    <w:basedOn w:val="DefaultParagraphFont"/>
    <w:link w:val="FootnoteText"/>
    <w:uiPriority w:val="99"/>
    <w:semiHidden/>
    <w:rsid w:val="00331AEA"/>
    <w:rPr>
      <w:rFonts w:ascii="Calibri" w:eastAsia="Calibri" w:hAnsi="Calibri" w:cs="Calibri"/>
      <w:sz w:val="20"/>
      <w:szCs w:val="20"/>
    </w:rPr>
  </w:style>
  <w:style w:type="character" w:styleId="FootnoteReference">
    <w:name w:val="footnote reference"/>
    <w:basedOn w:val="DefaultParagraphFont"/>
    <w:uiPriority w:val="99"/>
    <w:semiHidden/>
    <w:unhideWhenUsed/>
    <w:rsid w:val="00331AEA"/>
    <w:rPr>
      <w:vertAlign w:val="superscript"/>
    </w:rPr>
  </w:style>
  <w:style w:type="paragraph" w:styleId="ListParagraph">
    <w:name w:val="List Paragraph"/>
    <w:basedOn w:val="Normal"/>
    <w:uiPriority w:val="34"/>
    <w:qFormat/>
    <w:rsid w:val="00350896"/>
    <w:pPr>
      <w:ind w:left="720"/>
      <w:contextualSpacing/>
    </w:pPr>
  </w:style>
  <w:style w:type="table" w:styleId="TableGrid">
    <w:name w:val="Table Grid"/>
    <w:basedOn w:val="TableNormal"/>
    <w:uiPriority w:val="39"/>
    <w:rsid w:val="00C8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A04"/>
    <w:rPr>
      <w:color w:val="0563C1" w:themeColor="hyperlink"/>
      <w:u w:val="single"/>
    </w:rPr>
  </w:style>
  <w:style w:type="character" w:styleId="UnresolvedMention">
    <w:name w:val="Unresolved Mention"/>
    <w:basedOn w:val="DefaultParagraphFont"/>
    <w:uiPriority w:val="99"/>
    <w:semiHidden/>
    <w:unhideWhenUsed/>
    <w:rsid w:val="00466A04"/>
    <w:rPr>
      <w:color w:val="605E5C"/>
      <w:shd w:val="clear" w:color="auto" w:fill="E1DFDD"/>
    </w:rPr>
  </w:style>
  <w:style w:type="character" w:styleId="FollowedHyperlink">
    <w:name w:val="FollowedHyperlink"/>
    <w:basedOn w:val="DefaultParagraphFont"/>
    <w:uiPriority w:val="99"/>
    <w:semiHidden/>
    <w:unhideWhenUsed/>
    <w:rsid w:val="00466A04"/>
    <w:rPr>
      <w:color w:val="954F72" w:themeColor="followedHyperlink"/>
      <w:u w:val="single"/>
    </w:rPr>
  </w:style>
  <w:style w:type="character" w:styleId="Emphasis">
    <w:name w:val="Emphasis"/>
    <w:basedOn w:val="DefaultParagraphFont"/>
    <w:uiPriority w:val="20"/>
    <w:qFormat/>
    <w:rsid w:val="00EB563E"/>
    <w:rPr>
      <w:i/>
      <w:iCs/>
    </w:rPr>
  </w:style>
  <w:style w:type="paragraph" w:styleId="NormalWeb">
    <w:name w:val="Normal (Web)"/>
    <w:basedOn w:val="Normal"/>
    <w:uiPriority w:val="99"/>
    <w:semiHidden/>
    <w:unhideWhenUsed/>
    <w:rsid w:val="0070479B"/>
    <w:pPr>
      <w:widowControl/>
      <w:autoSpaceDE/>
      <w:autoSpaceDN/>
      <w:spacing w:before="100" w:beforeAutospacing="1" w:after="100" w:afterAutospacing="1"/>
    </w:pPr>
    <w:rPr>
      <w:rFonts w:eastAsiaTheme="minorHAns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33">
      <w:bodyDiv w:val="1"/>
      <w:marLeft w:val="0"/>
      <w:marRight w:val="0"/>
      <w:marTop w:val="0"/>
      <w:marBottom w:val="0"/>
      <w:divBdr>
        <w:top w:val="none" w:sz="0" w:space="0" w:color="auto"/>
        <w:left w:val="none" w:sz="0" w:space="0" w:color="auto"/>
        <w:bottom w:val="none" w:sz="0" w:space="0" w:color="auto"/>
        <w:right w:val="none" w:sz="0" w:space="0" w:color="auto"/>
      </w:divBdr>
    </w:div>
    <w:div w:id="115877779">
      <w:bodyDiv w:val="1"/>
      <w:marLeft w:val="0"/>
      <w:marRight w:val="0"/>
      <w:marTop w:val="0"/>
      <w:marBottom w:val="0"/>
      <w:divBdr>
        <w:top w:val="none" w:sz="0" w:space="0" w:color="auto"/>
        <w:left w:val="none" w:sz="0" w:space="0" w:color="auto"/>
        <w:bottom w:val="none" w:sz="0" w:space="0" w:color="auto"/>
        <w:right w:val="none" w:sz="0" w:space="0" w:color="auto"/>
      </w:divBdr>
    </w:div>
    <w:div w:id="353533126">
      <w:bodyDiv w:val="1"/>
      <w:marLeft w:val="0"/>
      <w:marRight w:val="0"/>
      <w:marTop w:val="0"/>
      <w:marBottom w:val="0"/>
      <w:divBdr>
        <w:top w:val="none" w:sz="0" w:space="0" w:color="auto"/>
        <w:left w:val="none" w:sz="0" w:space="0" w:color="auto"/>
        <w:bottom w:val="none" w:sz="0" w:space="0" w:color="auto"/>
        <w:right w:val="none" w:sz="0" w:space="0" w:color="auto"/>
      </w:divBdr>
    </w:div>
    <w:div w:id="1241601789">
      <w:bodyDiv w:val="1"/>
      <w:marLeft w:val="0"/>
      <w:marRight w:val="0"/>
      <w:marTop w:val="0"/>
      <w:marBottom w:val="0"/>
      <w:divBdr>
        <w:top w:val="none" w:sz="0" w:space="0" w:color="auto"/>
        <w:left w:val="none" w:sz="0" w:space="0" w:color="auto"/>
        <w:bottom w:val="none" w:sz="0" w:space="0" w:color="auto"/>
        <w:right w:val="none" w:sz="0" w:space="0" w:color="auto"/>
      </w:divBdr>
    </w:div>
    <w:div w:id="13203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seresearch.ie/clinical-trial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08A710EBB03644A9DADC30770CE2BF" ma:contentTypeVersion="16" ma:contentTypeDescription="Create a new document." ma:contentTypeScope="" ma:versionID="af91f8a4e9b58533416714576530367b">
  <xsd:schema xmlns:xsd="http://www.w3.org/2001/XMLSchema" xmlns:xs="http://www.w3.org/2001/XMLSchema" xmlns:p="http://schemas.microsoft.com/office/2006/metadata/properties" xmlns:ns2="10acc288-0dd2-4f1d-8da8-cc14f7800129" xmlns:ns3="238b9336-45aa-42e6-8b22-16769e4a8785" xmlns:ns4="5d592815-92ee-4bab-9b1a-ee1a4f57c4b2" targetNamespace="http://schemas.microsoft.com/office/2006/metadata/properties" ma:root="true" ma:fieldsID="66b00613fa65b20bd6132db13a13969a" ns2:_="" ns3:_="" ns4:_="">
    <xsd:import namespace="10acc288-0dd2-4f1d-8da8-cc14f7800129"/>
    <xsd:import namespace="238b9336-45aa-42e6-8b22-16769e4a8785"/>
    <xsd:import namespace="5d592815-92ee-4bab-9b1a-ee1a4f57c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ObjectDetectorVersion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cc288-0dd2-4f1d-8da8-cc14f7800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7245c84-c119-4115-bad1-baccb7c2970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8b9336-45aa-42e6-8b22-16769e4a878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736567f-ae45-44ac-97ef-c7fdc7a34597}" ma:internalName="TaxCatchAll" ma:showField="CatchAllData" ma:web="238b9336-45aa-42e6-8b22-16769e4a87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592815-92ee-4bab-9b1a-ee1a4f57c4b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8b9336-45aa-42e6-8b22-16769e4a8785" xsi:nil="true"/>
    <lcf76f155ced4ddcb4097134ff3c332f xmlns="10acc288-0dd2-4f1d-8da8-cc14f7800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C4D704-A540-41AE-A60A-B9774A472785}">
  <ds:schemaRefs>
    <ds:schemaRef ds:uri="http://schemas.openxmlformats.org/officeDocument/2006/bibliography"/>
  </ds:schemaRefs>
</ds:datastoreItem>
</file>

<file path=customXml/itemProps2.xml><?xml version="1.0" encoding="utf-8"?>
<ds:datastoreItem xmlns:ds="http://schemas.openxmlformats.org/officeDocument/2006/customXml" ds:itemID="{729C1FBB-AE8E-49BF-A3AB-2723572AF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cc288-0dd2-4f1d-8da8-cc14f7800129"/>
    <ds:schemaRef ds:uri="238b9336-45aa-42e6-8b22-16769e4a8785"/>
    <ds:schemaRef ds:uri="5d592815-92ee-4bab-9b1a-ee1a4f57c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36B9A-503F-4447-942F-80A8557919E7}">
  <ds:schemaRefs>
    <ds:schemaRef ds:uri="http://schemas.microsoft.com/sharepoint/v3/contenttype/forms"/>
  </ds:schemaRefs>
</ds:datastoreItem>
</file>

<file path=customXml/itemProps4.xml><?xml version="1.0" encoding="utf-8"?>
<ds:datastoreItem xmlns:ds="http://schemas.openxmlformats.org/officeDocument/2006/customXml" ds:itemID="{46E04710-8364-43E1-AACB-63E81346A60B}">
  <ds:schemaRefs>
    <ds:schemaRef ds:uri="http://schemas.microsoft.com/office/2006/metadata/properties"/>
    <ds:schemaRef ds:uri="http://schemas.microsoft.com/office/infopath/2007/PartnerControls"/>
    <ds:schemaRef ds:uri="238b9336-45aa-42e6-8b22-16769e4a8785"/>
    <ds:schemaRef ds:uri="10acc288-0dd2-4f1d-8da8-cc14f7800129"/>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Brophy</dc:creator>
  <cp:keywords/>
  <dc:description/>
  <cp:lastModifiedBy>Author</cp:lastModifiedBy>
  <cp:revision>16</cp:revision>
  <dcterms:created xsi:type="dcterms:W3CDTF">2024-05-17T11:02:00Z</dcterms:created>
  <dcterms:modified xsi:type="dcterms:W3CDTF">2024-05-17T11:20:00Z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0x010100A808A710EBB03644A9DADC30770CE2BF</vt:lpwstr>
  </property>
  <property fmtid="{D5CDD505-2E9C-101B-9397-08002B2CF9AE}" pid="3" name="MediaServiceImageTags">
    <vt:lpwstr/>
  </property>
</Properties>
</file>